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73719A14" w14:textId="6D708437" w:rsidR="00224502" w:rsidRPr="003A245C" w:rsidRDefault="004C0398" w:rsidP="0023734D">
      <w:pPr>
        <w:pStyle w:val="Zhlav"/>
        <w:spacing w:after="120"/>
        <w:jc w:val="center"/>
        <w:rPr>
          <w:b/>
          <w:bCs/>
          <w:color w:val="FF0000"/>
          <w:sz w:val="21"/>
          <w:szCs w:val="21"/>
        </w:rPr>
      </w:pPr>
      <w:r w:rsidRPr="004C0398">
        <w:rPr>
          <w:b/>
          <w:bCs/>
          <w:i/>
          <w:smallCaps/>
          <w:spacing w:val="30"/>
          <w:sz w:val="32"/>
          <w:szCs w:val="32"/>
          <w:lang w:val="en-US"/>
        </w:rPr>
        <w:t xml:space="preserve">II/416 Pohořelice – okružní křižovatka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31BE79DF" w:rsidR="00224502" w:rsidRPr="003A245C" w:rsidRDefault="00D21492" w:rsidP="00032239">
      <w:pPr>
        <w:spacing w:after="120"/>
        <w:outlineLvl w:val="0"/>
        <w:rPr>
          <w:b/>
          <w:sz w:val="21"/>
          <w:szCs w:val="21"/>
        </w:rPr>
      </w:pPr>
      <w:r w:rsidRPr="00D21492">
        <w:rPr>
          <w:b/>
          <w:sz w:val="21"/>
          <w:szCs w:val="21"/>
        </w:rPr>
        <w:t>Město Pohořelice</w:t>
      </w:r>
    </w:p>
    <w:p w14:paraId="4B189B89" w14:textId="5FBC7AF0" w:rsidR="006001F5" w:rsidRPr="003A245C" w:rsidRDefault="00224502" w:rsidP="003348DC">
      <w:pPr>
        <w:tabs>
          <w:tab w:val="left" w:pos="6300"/>
        </w:tabs>
        <w:rPr>
          <w:sz w:val="21"/>
          <w:szCs w:val="21"/>
        </w:rPr>
      </w:pPr>
      <w:r w:rsidRPr="003A245C">
        <w:rPr>
          <w:sz w:val="21"/>
          <w:szCs w:val="21"/>
        </w:rPr>
        <w:t xml:space="preserve">sídlem </w:t>
      </w:r>
      <w:r w:rsidR="00D21492" w:rsidRPr="00D21492">
        <w:rPr>
          <w:sz w:val="21"/>
          <w:szCs w:val="21"/>
        </w:rPr>
        <w:t>Vídeňská 699, 69123 Pohořelice</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w:t>
      </w:r>
      <w:r w:rsidR="00D21492" w:rsidRPr="00D21492">
        <w:rPr>
          <w:sz w:val="21"/>
          <w:szCs w:val="21"/>
        </w:rPr>
        <w:t>002 83 509</w:t>
      </w:r>
    </w:p>
    <w:p w14:paraId="73719A1A" w14:textId="46F0B658" w:rsidR="00FD73B8" w:rsidRPr="0084760C" w:rsidRDefault="00FD73B8" w:rsidP="00FD73B8">
      <w:pPr>
        <w:tabs>
          <w:tab w:val="left" w:pos="0"/>
        </w:tabs>
        <w:spacing w:after="120"/>
        <w:rPr>
          <w:sz w:val="21"/>
          <w:szCs w:val="21"/>
        </w:rPr>
      </w:pPr>
      <w:r w:rsidRPr="0084760C">
        <w:rPr>
          <w:sz w:val="21"/>
          <w:szCs w:val="21"/>
        </w:rPr>
        <w:t>zastoupen</w:t>
      </w:r>
      <w:r w:rsidR="00D21492">
        <w:rPr>
          <w:sz w:val="21"/>
          <w:szCs w:val="21"/>
        </w:rPr>
        <w:t>é</w:t>
      </w:r>
      <w:r w:rsidRPr="0084760C">
        <w:rPr>
          <w:sz w:val="21"/>
          <w:szCs w:val="21"/>
        </w:rPr>
        <w:t xml:space="preserve"> </w:t>
      </w:r>
      <w:r w:rsidR="00D21492">
        <w:rPr>
          <w:sz w:val="21"/>
          <w:szCs w:val="21"/>
        </w:rPr>
        <w:t>Bc. Miroslavem Novákem</w:t>
      </w:r>
      <w:r w:rsidRPr="0084760C">
        <w:rPr>
          <w:sz w:val="21"/>
          <w:szCs w:val="21"/>
        </w:rPr>
        <w:t xml:space="preserve">, </w:t>
      </w:r>
      <w:r w:rsidR="00D21492">
        <w:rPr>
          <w:sz w:val="21"/>
          <w:szCs w:val="21"/>
        </w:rPr>
        <w:t>DiS., starostou města</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3A5910AB" w:rsidR="00974CB6" w:rsidRPr="003C7273" w:rsidRDefault="00974CB6" w:rsidP="003C7273">
      <w:pPr>
        <w:numPr>
          <w:ilvl w:val="8"/>
          <w:numId w:val="13"/>
        </w:numPr>
        <w:tabs>
          <w:tab w:val="clear" w:pos="6480"/>
          <w:tab w:val="num" w:pos="1080"/>
        </w:tabs>
        <w:ind w:left="1083" w:hanging="181"/>
        <w:jc w:val="both"/>
        <w:rPr>
          <w:sz w:val="21"/>
          <w:szCs w:val="21"/>
        </w:rPr>
      </w:pPr>
      <w:r w:rsidRPr="00EF3E62">
        <w:rPr>
          <w:sz w:val="21"/>
          <w:szCs w:val="21"/>
        </w:rPr>
        <w:t xml:space="preserve">stavby </w:t>
      </w:r>
      <w:r w:rsidR="006001F5" w:rsidRPr="003C7273">
        <w:rPr>
          <w:sz w:val="21"/>
          <w:szCs w:val="21"/>
        </w:rPr>
        <w:t>„</w:t>
      </w:r>
      <w:r w:rsidR="003C7273" w:rsidRPr="003C7273">
        <w:rPr>
          <w:bCs/>
          <w:sz w:val="21"/>
          <w:szCs w:val="21"/>
          <w:lang w:val="en-US"/>
        </w:rPr>
        <w:t>II/416 Pohořelice – okružní křižovatka</w:t>
      </w:r>
      <w:r w:rsidR="006001F5" w:rsidRPr="003C7273">
        <w:rPr>
          <w:bCs/>
          <w:sz w:val="21"/>
          <w:szCs w:val="21"/>
          <w:lang w:val="en-US"/>
        </w:rPr>
        <w:t>”</w:t>
      </w:r>
      <w:r w:rsidR="006001F5" w:rsidRPr="006001F5">
        <w:rPr>
          <w:b/>
          <w:bCs/>
          <w:sz w:val="21"/>
          <w:szCs w:val="21"/>
        </w:rPr>
        <w:t xml:space="preserve"> </w:t>
      </w:r>
      <w:r w:rsidRPr="00974CB6">
        <w:rPr>
          <w:sz w:val="21"/>
          <w:szCs w:val="21"/>
        </w:rPr>
        <w:t>(</w:t>
      </w:r>
      <w:r w:rsidRPr="00534691">
        <w:rPr>
          <w:sz w:val="21"/>
          <w:szCs w:val="21"/>
        </w:rPr>
        <w:t xml:space="preserve">dále jen </w:t>
      </w:r>
      <w:r w:rsidR="00260CF6">
        <w:rPr>
          <w:sz w:val="21"/>
          <w:szCs w:val="21"/>
        </w:rPr>
        <w:t>„</w:t>
      </w:r>
      <w:r w:rsidRPr="00534691">
        <w:rPr>
          <w:sz w:val="21"/>
          <w:szCs w:val="21"/>
        </w:rPr>
        <w:t>stavba</w:t>
      </w:r>
      <w:r w:rsidR="00260CF6">
        <w:rPr>
          <w:sz w:val="21"/>
          <w:szCs w:val="21"/>
        </w:rPr>
        <w:t>“</w:t>
      </w:r>
      <w:r w:rsidR="00260CF6" w:rsidRPr="00534691">
        <w:rPr>
          <w:sz w:val="21"/>
          <w:szCs w:val="21"/>
        </w:rPr>
        <w:t>)</w:t>
      </w:r>
      <w:r w:rsidR="00260CF6">
        <w:rPr>
          <w:sz w:val="21"/>
          <w:szCs w:val="21"/>
        </w:rPr>
        <w:t>;</w:t>
      </w:r>
    </w:p>
    <w:p w14:paraId="73719A2B" w14:textId="77777777" w:rsidR="00974CB6" w:rsidRPr="001955F4"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260CF6">
        <w:rPr>
          <w:sz w:val="21"/>
          <w:szCs w:val="21"/>
        </w:rPr>
        <w:t>;</w:t>
      </w:r>
    </w:p>
    <w:p w14:paraId="73719A2D" w14:textId="6C6373F3" w:rsidR="00974CB6" w:rsidRDefault="00974CB6" w:rsidP="006001F5">
      <w:pPr>
        <w:numPr>
          <w:ilvl w:val="8"/>
          <w:numId w:val="13"/>
        </w:numPr>
        <w:tabs>
          <w:tab w:val="clear" w:pos="6480"/>
          <w:tab w:val="num" w:pos="1080"/>
        </w:tabs>
        <w:ind w:left="1083" w:hanging="181"/>
        <w:jc w:val="both"/>
        <w:rPr>
          <w:sz w:val="21"/>
          <w:szCs w:val="21"/>
        </w:rPr>
      </w:pPr>
      <w:r>
        <w:rPr>
          <w:sz w:val="21"/>
          <w:szCs w:val="21"/>
        </w:rPr>
        <w:t>geodetického zaměření stavby</w:t>
      </w:r>
      <w:r w:rsidR="00294694">
        <w:rPr>
          <w:sz w:val="21"/>
          <w:szCs w:val="21"/>
        </w:rPr>
        <w:t>;</w:t>
      </w:r>
    </w:p>
    <w:p w14:paraId="08096B3B" w14:textId="775E5E51" w:rsidR="00294694" w:rsidRPr="006001F5" w:rsidRDefault="00294694" w:rsidP="006001F5">
      <w:pPr>
        <w:numPr>
          <w:ilvl w:val="8"/>
          <w:numId w:val="13"/>
        </w:numPr>
        <w:tabs>
          <w:tab w:val="clear" w:pos="6480"/>
          <w:tab w:val="num" w:pos="1080"/>
        </w:tabs>
        <w:ind w:left="1083" w:hanging="181"/>
        <w:jc w:val="both"/>
        <w:rPr>
          <w:sz w:val="21"/>
          <w:szCs w:val="21"/>
        </w:rPr>
      </w:pPr>
      <w:r>
        <w:rPr>
          <w:sz w:val="21"/>
          <w:szCs w:val="21"/>
        </w:rPr>
        <w:t>geometrického plánu stavby a věcných břemen.</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13BAEBD6"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EE4FEA">
        <w:rPr>
          <w:sz w:val="21"/>
          <w:szCs w:val="21"/>
        </w:rPr>
        <w:t>Vídeňská 699, 691 23 Pohořelice</w:t>
      </w:r>
      <w:r w:rsidR="00700CD6" w:rsidRPr="00700CD6">
        <w:rPr>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0AA4A2A7" w14:textId="0AD2BDD9" w:rsidR="003C7273" w:rsidRPr="00ED78C3" w:rsidRDefault="003D6C6A" w:rsidP="00EE4FEA">
      <w:pPr>
        <w:pStyle w:val="Odstavecseseznamem"/>
        <w:numPr>
          <w:ilvl w:val="3"/>
          <w:numId w:val="13"/>
        </w:numPr>
        <w:tabs>
          <w:tab w:val="clear" w:pos="2880"/>
        </w:tabs>
        <w:spacing w:before="240" w:after="120"/>
        <w:ind w:left="567" w:hanging="567"/>
        <w:jc w:val="both"/>
        <w:rPr>
          <w:color w:val="000000" w:themeColor="text1"/>
          <w:sz w:val="21"/>
          <w:szCs w:val="21"/>
        </w:rPr>
      </w:pPr>
      <w:r w:rsidRPr="00700CD6">
        <w:rPr>
          <w:sz w:val="21"/>
          <w:szCs w:val="21"/>
        </w:rPr>
        <w:t xml:space="preserve">Stavbou se rozumí </w:t>
      </w:r>
      <w:r w:rsidR="003C7273" w:rsidRPr="003C7273">
        <w:rPr>
          <w:sz w:val="21"/>
          <w:szCs w:val="21"/>
        </w:rPr>
        <w:t>přestavba stávající nepřehledné frekventované křižovatky . Silnice prochází v řešené oblasti ulicemi Komenského a Znojemská (II/416), Loděnická (III/4133) a Vídeňská (II/395). Stavba dále zahrnuje úpravu místní komunikace Sportovní. Celková úprava křižovatky zahrnuje její přestavbu na kapacitní jednopruhovou okružní křižovatku tvaru blízkého elipse, vnější rozměr okružního pásu je 54,0 x 35,1 m. V rámci stavby budou upraveny v nejnutnějším rozsahu i jednotlivé paprsky křižovatky a v návaznosti i přilehlé komunikace pro pěší. Stavbou budou zasaženy i inženýrské sítě, jejichž úpravy, resp. přeložky jsou také součástí stavby.</w:t>
      </w:r>
    </w:p>
    <w:p w14:paraId="07377E41" w14:textId="77777777" w:rsidR="003C7273" w:rsidRDefault="003C7273" w:rsidP="003C7273">
      <w:pPr>
        <w:pStyle w:val="Odstavecseseznamem"/>
        <w:spacing w:before="240" w:after="120"/>
        <w:ind w:left="567"/>
        <w:rPr>
          <w:sz w:val="21"/>
          <w:szCs w:val="21"/>
        </w:rPr>
      </w:pPr>
    </w:p>
    <w:p w14:paraId="5958EE42" w14:textId="47883C09" w:rsidR="004C0398" w:rsidRDefault="004C0398" w:rsidP="003C7273">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6E2DDA2D" w14:textId="77777777" w:rsidR="00D21492" w:rsidRPr="00D21492" w:rsidRDefault="00D21492" w:rsidP="00D21492">
      <w:pPr>
        <w:ind w:firstLine="567"/>
        <w:rPr>
          <w:sz w:val="21"/>
          <w:szCs w:val="21"/>
        </w:rPr>
      </w:pPr>
      <w:r w:rsidRPr="00D21492">
        <w:rPr>
          <w:sz w:val="21"/>
          <w:szCs w:val="21"/>
        </w:rPr>
        <w:t>SO 001 Přesun Božích muk</w:t>
      </w:r>
      <w:r w:rsidRPr="00D21492">
        <w:rPr>
          <w:sz w:val="21"/>
          <w:szCs w:val="21"/>
        </w:rPr>
        <w:tab/>
        <w:t xml:space="preserve"> </w:t>
      </w:r>
    </w:p>
    <w:p w14:paraId="7017E78E" w14:textId="77777777" w:rsidR="00D21492" w:rsidRPr="00D21492" w:rsidRDefault="00D21492" w:rsidP="00D21492">
      <w:pPr>
        <w:ind w:firstLine="567"/>
        <w:rPr>
          <w:sz w:val="21"/>
          <w:szCs w:val="21"/>
        </w:rPr>
      </w:pPr>
      <w:r w:rsidRPr="00D21492">
        <w:rPr>
          <w:sz w:val="21"/>
          <w:szCs w:val="21"/>
        </w:rPr>
        <w:t xml:space="preserve">SO 102 Úprava ulice Sportovní </w:t>
      </w:r>
    </w:p>
    <w:p w14:paraId="601B327D" w14:textId="77777777" w:rsidR="00D21492" w:rsidRPr="00D21492" w:rsidRDefault="00D21492" w:rsidP="00D21492">
      <w:pPr>
        <w:ind w:firstLine="567"/>
        <w:rPr>
          <w:sz w:val="21"/>
          <w:szCs w:val="21"/>
        </w:rPr>
      </w:pPr>
      <w:r w:rsidRPr="00D21492">
        <w:rPr>
          <w:sz w:val="21"/>
          <w:szCs w:val="21"/>
        </w:rPr>
        <w:t>SO 151 Chodníky a odstavná stání</w:t>
      </w:r>
      <w:r w:rsidRPr="00D21492">
        <w:rPr>
          <w:sz w:val="21"/>
          <w:szCs w:val="21"/>
        </w:rPr>
        <w:tab/>
      </w:r>
      <w:r w:rsidRPr="00D21492">
        <w:rPr>
          <w:sz w:val="21"/>
          <w:szCs w:val="21"/>
        </w:rPr>
        <w:tab/>
      </w:r>
      <w:r w:rsidRPr="00D21492">
        <w:rPr>
          <w:sz w:val="21"/>
          <w:szCs w:val="21"/>
        </w:rPr>
        <w:tab/>
      </w:r>
      <w:r w:rsidRPr="00D21492">
        <w:rPr>
          <w:sz w:val="21"/>
          <w:szCs w:val="21"/>
        </w:rPr>
        <w:tab/>
      </w:r>
      <w:r w:rsidRPr="00D21492">
        <w:rPr>
          <w:sz w:val="21"/>
          <w:szCs w:val="21"/>
        </w:rPr>
        <w:tab/>
      </w:r>
    </w:p>
    <w:p w14:paraId="0E6CC1A6" w14:textId="77777777" w:rsidR="00D21492" w:rsidRPr="00D21492" w:rsidRDefault="00D21492" w:rsidP="00D21492">
      <w:pPr>
        <w:ind w:firstLine="567"/>
        <w:rPr>
          <w:sz w:val="21"/>
          <w:szCs w:val="21"/>
        </w:rPr>
      </w:pPr>
      <w:r w:rsidRPr="00D21492">
        <w:rPr>
          <w:sz w:val="21"/>
          <w:szCs w:val="21"/>
        </w:rPr>
        <w:lastRenderedPageBreak/>
        <w:t>SO 192 Dopravně inženýrská opatření pro ul. Sportovní</w:t>
      </w:r>
      <w:r w:rsidRPr="00D21492">
        <w:rPr>
          <w:sz w:val="21"/>
          <w:szCs w:val="21"/>
        </w:rPr>
        <w:tab/>
      </w:r>
    </w:p>
    <w:p w14:paraId="7D4DC7C8" w14:textId="77777777" w:rsidR="00D21492" w:rsidRPr="00D21492" w:rsidRDefault="00D21492" w:rsidP="00D21492">
      <w:pPr>
        <w:ind w:firstLine="567"/>
        <w:rPr>
          <w:sz w:val="21"/>
          <w:szCs w:val="21"/>
        </w:rPr>
      </w:pPr>
      <w:r w:rsidRPr="00D21492">
        <w:rPr>
          <w:sz w:val="21"/>
          <w:szCs w:val="21"/>
        </w:rPr>
        <w:t xml:space="preserve">SO 351.2 Přeložka vodovodu </w:t>
      </w:r>
    </w:p>
    <w:p w14:paraId="2BF632A0" w14:textId="77777777" w:rsidR="00D21492" w:rsidRPr="00D21492" w:rsidRDefault="00D21492" w:rsidP="00D21492">
      <w:pPr>
        <w:ind w:firstLine="567"/>
        <w:rPr>
          <w:sz w:val="21"/>
          <w:szCs w:val="21"/>
        </w:rPr>
      </w:pPr>
      <w:r w:rsidRPr="00D21492">
        <w:rPr>
          <w:sz w:val="21"/>
          <w:szCs w:val="21"/>
        </w:rPr>
        <w:t>SO 402 Veřejné osvětlení</w:t>
      </w:r>
      <w:r w:rsidRPr="00D21492">
        <w:rPr>
          <w:sz w:val="21"/>
          <w:szCs w:val="21"/>
        </w:rPr>
        <w:tab/>
      </w:r>
    </w:p>
    <w:p w14:paraId="1F00FE6A" w14:textId="77777777" w:rsidR="00D21492" w:rsidRPr="00D21492" w:rsidRDefault="00D21492" w:rsidP="00D21492">
      <w:pPr>
        <w:ind w:firstLine="567"/>
        <w:rPr>
          <w:sz w:val="21"/>
          <w:szCs w:val="21"/>
        </w:rPr>
      </w:pPr>
      <w:r w:rsidRPr="00D21492">
        <w:rPr>
          <w:sz w:val="21"/>
          <w:szCs w:val="21"/>
        </w:rPr>
        <w:t>SO 454 Přeložka místního rozhlasu</w:t>
      </w:r>
      <w:r w:rsidRPr="00D21492">
        <w:rPr>
          <w:sz w:val="21"/>
          <w:szCs w:val="21"/>
        </w:rPr>
        <w:tab/>
      </w:r>
      <w:r w:rsidRPr="00D21492">
        <w:rPr>
          <w:sz w:val="21"/>
          <w:szCs w:val="21"/>
        </w:rPr>
        <w:tab/>
      </w:r>
      <w:r w:rsidRPr="00D21492">
        <w:rPr>
          <w:sz w:val="21"/>
          <w:szCs w:val="21"/>
        </w:rPr>
        <w:tab/>
      </w:r>
      <w:r w:rsidRPr="00D21492">
        <w:rPr>
          <w:sz w:val="21"/>
          <w:szCs w:val="21"/>
        </w:rPr>
        <w:tab/>
      </w:r>
      <w:r w:rsidRPr="00D21492">
        <w:rPr>
          <w:sz w:val="21"/>
          <w:szCs w:val="21"/>
        </w:rPr>
        <w:tab/>
      </w:r>
    </w:p>
    <w:p w14:paraId="042CFDA1" w14:textId="77777777" w:rsidR="00D21492" w:rsidRPr="00D21492" w:rsidRDefault="00D21492" w:rsidP="00D21492">
      <w:pPr>
        <w:ind w:firstLine="567"/>
        <w:rPr>
          <w:sz w:val="21"/>
          <w:szCs w:val="21"/>
        </w:rPr>
      </w:pPr>
      <w:r w:rsidRPr="00D21492">
        <w:rPr>
          <w:sz w:val="21"/>
          <w:szCs w:val="21"/>
        </w:rPr>
        <w:t>SO 491 Kamerový systém</w:t>
      </w:r>
      <w:r w:rsidRPr="00D21492">
        <w:rPr>
          <w:sz w:val="21"/>
          <w:szCs w:val="21"/>
        </w:rPr>
        <w:tab/>
      </w:r>
      <w:r w:rsidRPr="00D21492">
        <w:rPr>
          <w:sz w:val="21"/>
          <w:szCs w:val="21"/>
        </w:rPr>
        <w:tab/>
      </w:r>
      <w:r w:rsidRPr="00D21492">
        <w:rPr>
          <w:sz w:val="21"/>
          <w:szCs w:val="21"/>
        </w:rPr>
        <w:tab/>
      </w:r>
      <w:r w:rsidRPr="00D21492">
        <w:rPr>
          <w:sz w:val="21"/>
          <w:szCs w:val="21"/>
        </w:rPr>
        <w:tab/>
      </w:r>
      <w:r w:rsidRPr="00D21492">
        <w:rPr>
          <w:sz w:val="21"/>
          <w:szCs w:val="21"/>
        </w:rPr>
        <w:tab/>
      </w:r>
      <w:r w:rsidRPr="00D21492">
        <w:rPr>
          <w:sz w:val="21"/>
          <w:szCs w:val="21"/>
        </w:rPr>
        <w:tab/>
      </w:r>
    </w:p>
    <w:p w14:paraId="4D0ACA27" w14:textId="77777777" w:rsidR="00D21492" w:rsidRPr="00D21492" w:rsidRDefault="00D21492" w:rsidP="00D21492">
      <w:pPr>
        <w:ind w:firstLine="567"/>
        <w:rPr>
          <w:sz w:val="21"/>
          <w:szCs w:val="21"/>
        </w:rPr>
      </w:pPr>
      <w:r w:rsidRPr="00D21492">
        <w:rPr>
          <w:sz w:val="21"/>
          <w:szCs w:val="21"/>
        </w:rPr>
        <w:t>SO 801 Vegetační úpravy</w:t>
      </w:r>
      <w:r w:rsidRPr="00D21492">
        <w:rPr>
          <w:sz w:val="21"/>
          <w:szCs w:val="21"/>
        </w:rPr>
        <w:tab/>
      </w:r>
      <w:r w:rsidRPr="00D21492">
        <w:rPr>
          <w:sz w:val="21"/>
          <w:szCs w:val="21"/>
        </w:rPr>
        <w:tab/>
      </w:r>
      <w:r w:rsidRPr="00D21492">
        <w:rPr>
          <w:sz w:val="21"/>
          <w:szCs w:val="21"/>
        </w:rPr>
        <w:tab/>
      </w:r>
      <w:r w:rsidRPr="00D21492">
        <w:rPr>
          <w:sz w:val="21"/>
          <w:szCs w:val="21"/>
        </w:rPr>
        <w:tab/>
      </w:r>
      <w:r w:rsidRPr="00D21492">
        <w:rPr>
          <w:sz w:val="21"/>
          <w:szCs w:val="21"/>
        </w:rPr>
        <w:tab/>
      </w:r>
      <w:r w:rsidRPr="00D21492">
        <w:rPr>
          <w:sz w:val="21"/>
          <w:szCs w:val="21"/>
        </w:rPr>
        <w:tab/>
      </w:r>
    </w:p>
    <w:p w14:paraId="17B75651" w14:textId="31FA0AA4" w:rsidR="00700CD6" w:rsidRPr="003C7273" w:rsidRDefault="00D21492" w:rsidP="00D21492">
      <w:pPr>
        <w:ind w:firstLine="567"/>
        <w:rPr>
          <w:sz w:val="21"/>
          <w:szCs w:val="21"/>
        </w:rPr>
      </w:pPr>
      <w:r w:rsidRPr="00D21492">
        <w:rPr>
          <w:sz w:val="21"/>
          <w:szCs w:val="21"/>
        </w:rPr>
        <w:t>SO 901 Úprava oplocení</w:t>
      </w:r>
      <w:r w:rsidRPr="00D21492">
        <w:rPr>
          <w:sz w:val="21"/>
          <w:szCs w:val="21"/>
        </w:rPr>
        <w:tab/>
      </w:r>
    </w:p>
    <w:p w14:paraId="13E66A68" w14:textId="77777777" w:rsidR="003C7273" w:rsidRPr="003C7273" w:rsidRDefault="003C7273" w:rsidP="003C7273">
      <w:pPr>
        <w:ind w:firstLine="567"/>
        <w:rPr>
          <w:sz w:val="21"/>
          <w:szCs w:val="21"/>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Pr="003A245C" w:rsidRDefault="00224502" w:rsidP="00FB40E9">
      <w:pPr>
        <w:numPr>
          <w:ilvl w:val="2"/>
          <w:numId w:val="1"/>
        </w:numPr>
        <w:tabs>
          <w:tab w:val="clear" w:pos="2160"/>
          <w:tab w:val="num" w:pos="1080"/>
        </w:tabs>
        <w:ind w:left="1083" w:hanging="181"/>
        <w:jc w:val="both"/>
        <w:rPr>
          <w:sz w:val="21"/>
          <w:szCs w:val="21"/>
        </w:rPr>
      </w:pPr>
      <w:r w:rsidRPr="003A245C">
        <w:rPr>
          <w:sz w:val="21"/>
          <w:szCs w:val="21"/>
        </w:rPr>
        <w:t>soupis prací;</w:t>
      </w:r>
    </w:p>
    <w:p w14:paraId="73719A42" w14:textId="7F40E084" w:rsidR="00735186" w:rsidRPr="00D4477A" w:rsidRDefault="00EC59BA" w:rsidP="00D4477A">
      <w:pPr>
        <w:numPr>
          <w:ilvl w:val="2"/>
          <w:numId w:val="1"/>
        </w:numPr>
        <w:tabs>
          <w:tab w:val="clear" w:pos="2160"/>
          <w:tab w:val="num" w:pos="1080"/>
        </w:tabs>
        <w:ind w:left="1083" w:hanging="181"/>
        <w:jc w:val="both"/>
        <w:rPr>
          <w:sz w:val="21"/>
          <w:szCs w:val="21"/>
          <w:lang w:val="en-US"/>
        </w:rPr>
      </w:pPr>
      <w:r>
        <w:rPr>
          <w:sz w:val="21"/>
          <w:szCs w:val="21"/>
        </w:rPr>
        <w:t>p</w:t>
      </w:r>
      <w:r w:rsidR="005904CF" w:rsidRPr="00DA28A7">
        <w:rPr>
          <w:sz w:val="21"/>
          <w:szCs w:val="21"/>
        </w:rPr>
        <w:t xml:space="preserve">rojektová dokumentace </w:t>
      </w:r>
      <w:r w:rsidR="005B5B9E" w:rsidRPr="005B5B9E">
        <w:rPr>
          <w:sz w:val="21"/>
          <w:szCs w:val="21"/>
        </w:rPr>
        <w:t xml:space="preserve">pro provedení stavby a soupis prací zpracováno </w:t>
      </w:r>
      <w:r w:rsidR="00700CD6" w:rsidRPr="00700CD6">
        <w:rPr>
          <w:sz w:val="21"/>
          <w:szCs w:val="21"/>
        </w:rPr>
        <w:t>v</w:t>
      </w:r>
      <w:r w:rsidR="00D4477A">
        <w:rPr>
          <w:sz w:val="21"/>
          <w:szCs w:val="21"/>
        </w:rPr>
        <w:t> únoru 2020</w:t>
      </w:r>
      <w:r w:rsidR="00700CD6" w:rsidRPr="00700CD6">
        <w:rPr>
          <w:sz w:val="21"/>
          <w:szCs w:val="21"/>
        </w:rPr>
        <w:t xml:space="preserve"> firmou </w:t>
      </w:r>
      <w:r w:rsidR="00D4477A" w:rsidRPr="00D4477A">
        <w:rPr>
          <w:sz w:val="21"/>
          <w:szCs w:val="21"/>
        </w:rPr>
        <w:t>HBH Projekt spol. s r.o. Kabátníkova 5, 602 00 Brno,</w:t>
      </w:r>
      <w:r w:rsidR="00D4477A" w:rsidRPr="00D4477A">
        <w:rPr>
          <w:bCs/>
          <w:sz w:val="21"/>
          <w:szCs w:val="21"/>
        </w:rPr>
        <w:t xml:space="preserve"> IČO 449 61</w:t>
      </w:r>
      <w:r w:rsidR="00D4477A">
        <w:rPr>
          <w:bCs/>
          <w:sz w:val="21"/>
          <w:szCs w:val="21"/>
        </w:rPr>
        <w:t> </w:t>
      </w:r>
      <w:r w:rsidR="00D4477A" w:rsidRPr="00D4477A">
        <w:rPr>
          <w:bCs/>
          <w:sz w:val="21"/>
          <w:szCs w:val="21"/>
        </w:rPr>
        <w:t>944</w:t>
      </w:r>
      <w:r w:rsidR="00D4477A">
        <w:rPr>
          <w:sz w:val="21"/>
          <w:szCs w:val="21"/>
          <w:lang w:val="en-US"/>
        </w:rPr>
        <w:t xml:space="preserve"> </w:t>
      </w:r>
      <w:r w:rsidR="00D87EFA" w:rsidRPr="00D4477A">
        <w:rPr>
          <w:sz w:val="21"/>
          <w:szCs w:val="21"/>
        </w:rPr>
        <w:t>(dále jen „projektová dokumentace“)</w:t>
      </w:r>
      <w:r w:rsidR="005904CF" w:rsidRPr="00D4477A">
        <w:rPr>
          <w:sz w:val="21"/>
          <w:szCs w:val="21"/>
        </w:rPr>
        <w:t>;</w:t>
      </w:r>
    </w:p>
    <w:p w14:paraId="2D5829E3" w14:textId="75B06A77" w:rsidR="00D4477A" w:rsidRPr="00D4477A" w:rsidRDefault="00D4477A" w:rsidP="00D4477A">
      <w:pPr>
        <w:numPr>
          <w:ilvl w:val="2"/>
          <w:numId w:val="1"/>
        </w:numPr>
        <w:tabs>
          <w:tab w:val="clear" w:pos="2160"/>
          <w:tab w:val="num" w:pos="993"/>
        </w:tabs>
        <w:ind w:left="1134" w:hanging="283"/>
        <w:jc w:val="both"/>
        <w:rPr>
          <w:sz w:val="21"/>
          <w:szCs w:val="21"/>
        </w:rPr>
      </w:pPr>
      <w:r>
        <w:rPr>
          <w:sz w:val="21"/>
          <w:szCs w:val="21"/>
        </w:rPr>
        <w:t xml:space="preserve">  </w:t>
      </w:r>
      <w:r w:rsidR="00224502" w:rsidRPr="0096212D">
        <w:rPr>
          <w:sz w:val="21"/>
          <w:szCs w:val="21"/>
        </w:rPr>
        <w:t>akty státní správy</w:t>
      </w:r>
      <w:r w:rsidR="00262031" w:rsidRPr="0096212D">
        <w:rPr>
          <w:sz w:val="21"/>
          <w:szCs w:val="21"/>
        </w:rPr>
        <w:t>:</w:t>
      </w:r>
      <w:r>
        <w:rPr>
          <w:sz w:val="21"/>
          <w:szCs w:val="21"/>
        </w:rPr>
        <w:t xml:space="preserve"> </w:t>
      </w:r>
      <w:r w:rsidRPr="00D4477A">
        <w:rPr>
          <w:sz w:val="21"/>
          <w:szCs w:val="21"/>
        </w:rPr>
        <w:t xml:space="preserve">Společné povolení vydané MÚ Pohořelice , odborem dopravy a silničního hospodářství, č.j. MUPO-16463/2020/OD/SAM ze dne 4.2.2020, </w:t>
      </w:r>
      <w:r>
        <w:rPr>
          <w:sz w:val="21"/>
          <w:szCs w:val="21"/>
        </w:rPr>
        <w:t>s nabytím právní moci</w:t>
      </w:r>
      <w:r w:rsidRPr="00D4477A">
        <w:rPr>
          <w:sz w:val="21"/>
          <w:szCs w:val="21"/>
        </w:rPr>
        <w:t xml:space="preserve"> 22.2.2020. </w:t>
      </w:r>
    </w:p>
    <w:p w14:paraId="736FF6CB" w14:textId="27F23D07" w:rsidR="005B329A" w:rsidRDefault="00D4477A" w:rsidP="00D4477A">
      <w:pPr>
        <w:numPr>
          <w:ilvl w:val="2"/>
          <w:numId w:val="1"/>
        </w:numPr>
        <w:tabs>
          <w:tab w:val="clear" w:pos="2160"/>
          <w:tab w:val="num" w:pos="993"/>
        </w:tabs>
        <w:spacing w:after="120"/>
        <w:ind w:hanging="1309"/>
        <w:jc w:val="both"/>
        <w:rPr>
          <w:sz w:val="21"/>
          <w:szCs w:val="21"/>
        </w:rPr>
      </w:pPr>
      <w:r>
        <w:rPr>
          <w:sz w:val="21"/>
          <w:szCs w:val="21"/>
        </w:rPr>
        <w:t xml:space="preserve">  </w:t>
      </w:r>
      <w:r w:rsidR="005B329A" w:rsidRPr="005B329A">
        <w:rPr>
          <w:sz w:val="21"/>
          <w:szCs w:val="21"/>
        </w:rPr>
        <w:t>technické normy vztahující se k materiálům a činnostem prováděných na základě této smlouvy;</w:t>
      </w:r>
    </w:p>
    <w:p w14:paraId="73719A48" w14:textId="77777777" w:rsidR="00260CF6" w:rsidRPr="00260CF6" w:rsidRDefault="00224502" w:rsidP="00D4477A">
      <w:pPr>
        <w:numPr>
          <w:ilvl w:val="2"/>
          <w:numId w:val="1"/>
        </w:numPr>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54" w14:textId="77777777" w:rsidR="00534691" w:rsidRPr="00D21492" w:rsidRDefault="00534691" w:rsidP="00534691">
      <w:pPr>
        <w:pStyle w:val="Odstavecseseznamem"/>
        <w:keepNext/>
        <w:keepLines/>
        <w:tabs>
          <w:tab w:val="num" w:pos="567"/>
        </w:tabs>
        <w:spacing w:before="120" w:after="120"/>
        <w:rPr>
          <w:b/>
          <w:smallCaps/>
          <w:spacing w:val="20"/>
          <w:sz w:val="20"/>
          <w:szCs w:val="20"/>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1309BA1A"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465399" w:rsidRPr="00465399">
        <w:rPr>
          <w:color w:val="000000" w:themeColor="text1"/>
          <w:sz w:val="21"/>
          <w:szCs w:val="21"/>
        </w:rPr>
        <w:t>3x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4DE8591F"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w:t>
      </w:r>
      <w:r w:rsidR="00EE4FEA">
        <w:rPr>
          <w:sz w:val="21"/>
          <w:szCs w:val="21"/>
        </w:rPr>
        <w:t>n konzultovat s technických dozorem investora</w:t>
      </w:r>
      <w:r w:rsidRPr="002573EE">
        <w:rPr>
          <w:sz w:val="21"/>
          <w:szCs w:val="21"/>
        </w:rPr>
        <w:t>.</w:t>
      </w:r>
    </w:p>
    <w:p w14:paraId="150EEF7C" w14:textId="77777777"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lastRenderedPageBreak/>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386" w:type="dxa"/>
            <w:gridSpan w:val="2"/>
          </w:tcPr>
          <w:p w14:paraId="73719A66" w14:textId="0A046BBE" w:rsidR="00456FA1" w:rsidRPr="00D95314" w:rsidRDefault="00467357" w:rsidP="00D4477A">
            <w:pPr>
              <w:tabs>
                <w:tab w:val="num" w:pos="0"/>
              </w:tabs>
              <w:spacing w:before="120" w:after="120"/>
              <w:rPr>
                <w:b/>
                <w:sz w:val="21"/>
                <w:szCs w:val="21"/>
              </w:rPr>
            </w:pPr>
            <w:r w:rsidRPr="00D95314">
              <w:rPr>
                <w:b/>
                <w:sz w:val="21"/>
                <w:szCs w:val="21"/>
              </w:rPr>
              <w:t xml:space="preserve">do </w:t>
            </w:r>
            <w:r w:rsidR="00D4477A">
              <w:rPr>
                <w:b/>
                <w:sz w:val="21"/>
                <w:szCs w:val="21"/>
              </w:rPr>
              <w:t>7</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95314">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305DEB2E" w:rsidR="003A414C" w:rsidRPr="0096212D" w:rsidRDefault="00224502" w:rsidP="005110D8">
            <w:pPr>
              <w:tabs>
                <w:tab w:val="num" w:pos="0"/>
              </w:tabs>
              <w:spacing w:before="120" w:after="120"/>
              <w:ind w:left="-19" w:firstLine="19"/>
              <w:rPr>
                <w:sz w:val="21"/>
                <w:szCs w:val="21"/>
              </w:rPr>
            </w:pPr>
            <w:r w:rsidRPr="0096212D">
              <w:rPr>
                <w:sz w:val="21"/>
                <w:szCs w:val="21"/>
              </w:rPr>
              <w:t xml:space="preserve">Dokončení </w:t>
            </w:r>
            <w:r w:rsidR="002E3EB7">
              <w:rPr>
                <w:sz w:val="21"/>
                <w:szCs w:val="21"/>
              </w:rPr>
              <w:t>a předání stavby</w:t>
            </w:r>
          </w:p>
        </w:tc>
        <w:tc>
          <w:tcPr>
            <w:tcW w:w="4961" w:type="dxa"/>
          </w:tcPr>
          <w:p w14:paraId="3D2A165E" w14:textId="77777777" w:rsidR="003A414C" w:rsidRDefault="00B06449" w:rsidP="00D4477A">
            <w:pPr>
              <w:tabs>
                <w:tab w:val="num" w:pos="-19"/>
                <w:tab w:val="left" w:pos="180"/>
                <w:tab w:val="right" w:pos="4745"/>
              </w:tabs>
              <w:spacing w:before="120" w:after="120"/>
              <w:rPr>
                <w:b/>
                <w:color w:val="000000" w:themeColor="text1"/>
                <w:sz w:val="21"/>
                <w:szCs w:val="21"/>
              </w:rPr>
            </w:pPr>
            <w:r w:rsidRPr="00465399">
              <w:rPr>
                <w:b/>
                <w:color w:val="000000" w:themeColor="text1"/>
                <w:sz w:val="21"/>
                <w:szCs w:val="21"/>
              </w:rPr>
              <w:t>d</w:t>
            </w:r>
            <w:r w:rsidR="00E37757" w:rsidRPr="00465399">
              <w:rPr>
                <w:b/>
                <w:color w:val="000000" w:themeColor="text1"/>
                <w:sz w:val="21"/>
                <w:szCs w:val="21"/>
              </w:rPr>
              <w:t xml:space="preserve">o </w:t>
            </w:r>
            <w:r w:rsidR="00EE4FEA">
              <w:rPr>
                <w:b/>
                <w:color w:val="000000" w:themeColor="text1"/>
                <w:sz w:val="21"/>
                <w:szCs w:val="21"/>
              </w:rPr>
              <w:t>31.5.2021</w:t>
            </w:r>
          </w:p>
          <w:p w14:paraId="73719A6A" w14:textId="6B78ED9D" w:rsidR="00EE4FEA" w:rsidRPr="00D95314" w:rsidRDefault="00EE4FEA" w:rsidP="00664241">
            <w:pPr>
              <w:tabs>
                <w:tab w:val="num" w:pos="-19"/>
                <w:tab w:val="left" w:pos="180"/>
                <w:tab w:val="right" w:pos="4745"/>
              </w:tabs>
              <w:spacing w:before="120" w:after="120"/>
              <w:rPr>
                <w:b/>
                <w:sz w:val="21"/>
                <w:szCs w:val="21"/>
              </w:rPr>
            </w:pPr>
            <w:r>
              <w:rPr>
                <w:b/>
                <w:color w:val="000000" w:themeColor="text1"/>
                <w:sz w:val="21"/>
                <w:szCs w:val="21"/>
              </w:rPr>
              <w:t>v roce 2020 budou provedeny všechny stavební práce s</w:t>
            </w:r>
            <w:r w:rsidR="00664241">
              <w:rPr>
                <w:b/>
                <w:color w:val="000000" w:themeColor="text1"/>
                <w:sz w:val="21"/>
                <w:szCs w:val="21"/>
              </w:rPr>
              <w:t> výjimkou prací výsadbě dřevin</w:t>
            </w:r>
            <w:r>
              <w:rPr>
                <w:b/>
                <w:color w:val="000000" w:themeColor="text1"/>
                <w:sz w:val="21"/>
                <w:szCs w:val="21"/>
              </w:rPr>
              <w:t>.</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150F397A" w:rsidR="002E3EB7" w:rsidRPr="0096212D" w:rsidRDefault="005A7744" w:rsidP="0047238C">
            <w:pPr>
              <w:tabs>
                <w:tab w:val="num" w:pos="0"/>
              </w:tabs>
              <w:spacing w:before="120" w:after="120"/>
              <w:ind w:left="-19" w:firstLine="19"/>
              <w:jc w:val="both"/>
              <w:rPr>
                <w:sz w:val="21"/>
                <w:szCs w:val="21"/>
              </w:rPr>
            </w:pPr>
            <w:r w:rsidRPr="0096212D">
              <w:rPr>
                <w:sz w:val="21"/>
                <w:szCs w:val="21"/>
              </w:rPr>
              <w:t>Předání a převzetí díla</w:t>
            </w:r>
            <w:r w:rsidR="002E3EB7">
              <w:rPr>
                <w:sz w:val="21"/>
                <w:szCs w:val="21"/>
              </w:rPr>
              <w:t xml:space="preserve"> vyjma geometrických plánů</w:t>
            </w:r>
          </w:p>
        </w:tc>
        <w:tc>
          <w:tcPr>
            <w:tcW w:w="4961" w:type="dxa"/>
          </w:tcPr>
          <w:p w14:paraId="73719A6E" w14:textId="557C2C0F" w:rsidR="002E3EB7" w:rsidRPr="00D95314" w:rsidRDefault="008A2886" w:rsidP="0047238C">
            <w:pPr>
              <w:tabs>
                <w:tab w:val="num" w:pos="540"/>
              </w:tabs>
              <w:spacing w:before="120" w:after="120"/>
              <w:rPr>
                <w:b/>
                <w:sz w:val="21"/>
                <w:szCs w:val="21"/>
              </w:rPr>
            </w:pPr>
            <w:r w:rsidRPr="00D95314">
              <w:rPr>
                <w:b/>
                <w:sz w:val="21"/>
                <w:szCs w:val="21"/>
              </w:rPr>
              <w:t xml:space="preserve">do 30 dnů od dokončení </w:t>
            </w:r>
            <w:r w:rsidR="00286E72">
              <w:rPr>
                <w:b/>
                <w:sz w:val="21"/>
                <w:szCs w:val="21"/>
              </w:rPr>
              <w:t xml:space="preserve">a předání </w:t>
            </w:r>
            <w:r w:rsidR="002E3EB7">
              <w:rPr>
                <w:b/>
                <w:sz w:val="21"/>
                <w:szCs w:val="21"/>
              </w:rPr>
              <w:t xml:space="preserve"> stavby</w:t>
            </w:r>
          </w:p>
        </w:tc>
      </w:tr>
      <w:tr w:rsidR="0047238C" w:rsidRPr="0096212D" w14:paraId="70AA2C49" w14:textId="77777777" w:rsidTr="00D95314">
        <w:trPr>
          <w:gridAfter w:val="1"/>
          <w:wAfter w:w="425" w:type="dxa"/>
          <w:trHeight w:val="256"/>
        </w:trPr>
        <w:tc>
          <w:tcPr>
            <w:tcW w:w="792" w:type="dxa"/>
          </w:tcPr>
          <w:p w14:paraId="1D0D2DD0" w14:textId="77777777" w:rsidR="0047238C" w:rsidRPr="0096212D" w:rsidRDefault="0047238C" w:rsidP="00A62D39">
            <w:pPr>
              <w:tabs>
                <w:tab w:val="left" w:pos="432"/>
              </w:tabs>
              <w:spacing w:before="120" w:after="120"/>
              <w:ind w:left="360"/>
              <w:jc w:val="center"/>
              <w:rPr>
                <w:sz w:val="21"/>
                <w:szCs w:val="21"/>
              </w:rPr>
            </w:pPr>
          </w:p>
        </w:tc>
        <w:tc>
          <w:tcPr>
            <w:tcW w:w="4278" w:type="dxa"/>
          </w:tcPr>
          <w:p w14:paraId="1DA3593C" w14:textId="695D6715" w:rsidR="0047238C" w:rsidRPr="0096212D" w:rsidRDefault="0047238C" w:rsidP="00FB53CC">
            <w:pPr>
              <w:tabs>
                <w:tab w:val="num" w:pos="0"/>
              </w:tabs>
              <w:spacing w:before="120" w:after="120"/>
              <w:ind w:left="-19" w:firstLine="19"/>
              <w:jc w:val="both"/>
              <w:rPr>
                <w:sz w:val="21"/>
                <w:szCs w:val="21"/>
              </w:rPr>
            </w:pPr>
            <w:r w:rsidRPr="0047238C">
              <w:rPr>
                <w:sz w:val="21"/>
                <w:szCs w:val="21"/>
              </w:rPr>
              <w:t>Předání a převzetí geometrických plánů</w:t>
            </w:r>
          </w:p>
        </w:tc>
        <w:tc>
          <w:tcPr>
            <w:tcW w:w="4961" w:type="dxa"/>
          </w:tcPr>
          <w:p w14:paraId="1EA31004" w14:textId="11E3AA2D" w:rsidR="0047238C" w:rsidRPr="00D95314" w:rsidRDefault="0047238C" w:rsidP="00B06449">
            <w:pPr>
              <w:tabs>
                <w:tab w:val="num" w:pos="540"/>
              </w:tabs>
              <w:spacing w:before="120" w:after="120"/>
              <w:rPr>
                <w:b/>
                <w:sz w:val="21"/>
                <w:szCs w:val="21"/>
              </w:rPr>
            </w:pPr>
            <w:r w:rsidRPr="0047238C">
              <w:rPr>
                <w:b/>
                <w:sz w:val="21"/>
                <w:szCs w:val="21"/>
              </w:rPr>
              <w:t xml:space="preserve">do </w:t>
            </w:r>
            <w:r w:rsidR="00E37757">
              <w:rPr>
                <w:b/>
                <w:sz w:val="21"/>
                <w:szCs w:val="21"/>
              </w:rPr>
              <w:t>9</w:t>
            </w:r>
            <w:r w:rsidRPr="0047238C">
              <w:rPr>
                <w:b/>
                <w:sz w:val="21"/>
                <w:szCs w:val="21"/>
              </w:rPr>
              <w:t>0</w:t>
            </w:r>
            <w:r w:rsidR="00EE4FEA">
              <w:rPr>
                <w:b/>
                <w:sz w:val="21"/>
                <w:szCs w:val="21"/>
              </w:rPr>
              <w:t xml:space="preserve"> dnů od dokončení a předání</w:t>
            </w:r>
            <w:r w:rsidRPr="0047238C">
              <w:rPr>
                <w:b/>
                <w:sz w:val="21"/>
                <w:szCs w:val="21"/>
              </w:rPr>
              <w:t xml:space="preserve"> stavby</w:t>
            </w:r>
          </w:p>
        </w:tc>
      </w:tr>
    </w:tbl>
    <w:p w14:paraId="73719A74" w14:textId="0FE6C414" w:rsidR="00D00D76" w:rsidRDefault="00D95314" w:rsidP="00FB40E9">
      <w:pPr>
        <w:keepNext/>
        <w:keepLines/>
        <w:spacing w:before="120" w:after="120"/>
        <w:ind w:left="539"/>
        <w:jc w:val="both"/>
        <w:rPr>
          <w:sz w:val="21"/>
          <w:szCs w:val="21"/>
        </w:rPr>
      </w:pPr>
      <w:r>
        <w:rPr>
          <w:sz w:val="21"/>
          <w:szCs w:val="21"/>
        </w:rPr>
        <w:t>Dřívější plnění je</w:t>
      </w:r>
      <w:r w:rsidR="00E37757">
        <w:rPr>
          <w:sz w:val="21"/>
          <w:szCs w:val="21"/>
        </w:rPr>
        <w:t xml:space="preserve"> možné</w:t>
      </w:r>
      <w:r>
        <w:rPr>
          <w:sz w:val="21"/>
          <w:szCs w:val="21"/>
        </w:rPr>
        <w:t>.</w:t>
      </w: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0B51C2B5" w14:textId="5991DB95" w:rsidR="005A47D4" w:rsidRDefault="005A47D4" w:rsidP="00FB40E9">
      <w:pPr>
        <w:numPr>
          <w:ilvl w:val="2"/>
          <w:numId w:val="3"/>
        </w:numPr>
        <w:tabs>
          <w:tab w:val="clear" w:pos="2160"/>
          <w:tab w:val="num" w:pos="993"/>
        </w:tabs>
        <w:ind w:left="1083" w:hanging="181"/>
        <w:jc w:val="both"/>
        <w:rPr>
          <w:sz w:val="21"/>
          <w:szCs w:val="21"/>
        </w:rPr>
      </w:pPr>
      <w:r w:rsidRPr="005A47D4">
        <w:rPr>
          <w:sz w:val="21"/>
          <w:szCs w:val="21"/>
        </w:rPr>
        <w:t>výpočet hluku ze stavební činnosti</w:t>
      </w:r>
      <w:r>
        <w:rPr>
          <w:sz w:val="21"/>
          <w:szCs w:val="21"/>
        </w:rPr>
        <w:t>;</w:t>
      </w:r>
    </w:p>
    <w:p w14:paraId="73719A77" w14:textId="0EE1A4B1"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p>
    <w:p w14:paraId="2B9C116E" w14:textId="4EB4E633"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 nebo po dohodě s ním</w:t>
      </w:r>
      <w:r w:rsidRPr="00DD22B4">
        <w:rPr>
          <w:sz w:val="21"/>
          <w:szCs w:val="21"/>
        </w:rPr>
        <w:t xml:space="preserve"> zahájit stavební práce. Stavební práce budou prováděny v souladu s harmonogramem prací, který je součástí této smlouvy.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0A713A5C"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465399" w:rsidRPr="00465399">
        <w:rPr>
          <w:sz w:val="21"/>
          <w:szCs w:val="21"/>
        </w:rPr>
        <w:t>,</w:t>
      </w:r>
    </w:p>
    <w:p w14:paraId="3342D3FB" w14:textId="77777777" w:rsidR="00A40D71"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7F" w14:textId="60A5160A" w:rsidR="00224502" w:rsidRPr="00EE4FEA" w:rsidRDefault="00A40D71" w:rsidP="00FB40E9">
      <w:pPr>
        <w:numPr>
          <w:ilvl w:val="2"/>
          <w:numId w:val="14"/>
        </w:numPr>
        <w:tabs>
          <w:tab w:val="clear" w:pos="2160"/>
          <w:tab w:val="num" w:pos="993"/>
        </w:tabs>
        <w:ind w:left="993" w:hanging="142"/>
        <w:jc w:val="both"/>
        <w:rPr>
          <w:sz w:val="21"/>
          <w:szCs w:val="21"/>
        </w:rPr>
      </w:pPr>
      <w:r w:rsidRPr="00EE4FEA">
        <w:rPr>
          <w:sz w:val="21"/>
          <w:szCs w:val="21"/>
        </w:rPr>
        <w:t>bankovní záruk</w:t>
      </w:r>
      <w:r w:rsidR="00101E3C" w:rsidRPr="00EE4FEA">
        <w:rPr>
          <w:sz w:val="21"/>
          <w:szCs w:val="21"/>
        </w:rPr>
        <w:t>a</w:t>
      </w:r>
      <w:r w:rsidR="009B32C8" w:rsidRPr="00EE4FEA">
        <w:rPr>
          <w:sz w:val="21"/>
          <w:szCs w:val="21"/>
        </w:rPr>
        <w:t>.</w:t>
      </w:r>
    </w:p>
    <w:p w14:paraId="73719A81" w14:textId="37CF7ED4"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nebude zjištěno, že je celé dílo dle 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16BAD8C6"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vyjma geometrických plánů a 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w:t>
      </w:r>
      <w:r w:rsidR="002906A9" w:rsidRPr="00662749">
        <w:rPr>
          <w:sz w:val="21"/>
          <w:szCs w:val="21"/>
        </w:rPr>
        <w:lastRenderedPageBreak/>
        <w:t>s právními předpisy. Soupis zjevných drobných vad stavby bude uveden v protokolu o předání v převzetí dokončené stavby</w:t>
      </w:r>
      <w:r w:rsidR="008F115F" w:rsidRPr="00662749">
        <w:rPr>
          <w:sz w:val="21"/>
          <w:szCs w:val="21"/>
        </w:rPr>
        <w:t>.</w:t>
      </w:r>
    </w:p>
    <w:p w14:paraId="73719A87" w14:textId="7796793D" w:rsidR="00E23A84" w:rsidRDefault="005245D1" w:rsidP="009B32C8">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2143375A"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w:t>
      </w:r>
      <w:r w:rsidR="00E15583">
        <w:rPr>
          <w:sz w:val="21"/>
          <w:szCs w:val="21"/>
        </w:rPr>
        <w:t xml:space="preserve">elektronicky na adresu faktury@pohorelice.cz </w:t>
      </w:r>
      <w:r w:rsidR="00D21492">
        <w:rPr>
          <w:sz w:val="21"/>
          <w:szCs w:val="21"/>
        </w:rPr>
        <w:t>,</w:t>
      </w:r>
      <w:r w:rsidRPr="0096212D">
        <w:rPr>
          <w:sz w:val="21"/>
          <w:szCs w:val="21"/>
        </w:rPr>
        <w:t xml:space="preserve"> to do patnácti kalendářních dnů po dni, ke kterému je vystaven a odsouhlasen </w:t>
      </w:r>
      <w:r w:rsidR="00113932" w:rsidRPr="00113932">
        <w:rPr>
          <w:sz w:val="21"/>
          <w:szCs w:val="21"/>
        </w:rPr>
        <w:t>technickým dozorem investora</w:t>
      </w:r>
      <w:r w:rsidRPr="0096212D">
        <w:rPr>
          <w:sz w:val="21"/>
          <w:szCs w:val="21"/>
        </w:rPr>
        <w:t xml:space="preserve">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47545A0D" w:rsidR="00107DA6" w:rsidRPr="0096212D" w:rsidRDefault="00107DA6" w:rsidP="00FB40E9">
      <w:pPr>
        <w:numPr>
          <w:ilvl w:val="2"/>
          <w:numId w:val="26"/>
        </w:numPr>
        <w:ind w:left="1032" w:hanging="181"/>
        <w:jc w:val="both"/>
        <w:rPr>
          <w:sz w:val="21"/>
          <w:szCs w:val="21"/>
        </w:rPr>
      </w:pPr>
      <w:r w:rsidRPr="0096212D">
        <w:rPr>
          <w:sz w:val="21"/>
          <w:szCs w:val="21"/>
        </w:rPr>
        <w:t xml:space="preserve">který je datován a podepsán </w:t>
      </w:r>
      <w:r w:rsidR="00113932">
        <w:rPr>
          <w:sz w:val="21"/>
          <w:szCs w:val="21"/>
        </w:rPr>
        <w:t>stavbyvedoucím a technickým dozorem investora</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3516D5F6" w14:textId="3A608FEA" w:rsidR="00101E3C" w:rsidRPr="00ED78C3" w:rsidRDefault="00107DA6" w:rsidP="00ED78C3">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lastRenderedPageBreak/>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6682A14B" w:rsidR="00107DA6" w:rsidRPr="0096212D" w:rsidRDefault="00107DA6" w:rsidP="00FB40E9">
      <w:pPr>
        <w:numPr>
          <w:ilvl w:val="2"/>
          <w:numId w:val="26"/>
        </w:numPr>
        <w:ind w:left="1032" w:hanging="181"/>
        <w:jc w:val="both"/>
        <w:rPr>
          <w:sz w:val="21"/>
          <w:szCs w:val="21"/>
        </w:rPr>
      </w:pPr>
      <w:r w:rsidRPr="0096212D">
        <w:rPr>
          <w:sz w:val="21"/>
          <w:szCs w:val="21"/>
        </w:rPr>
        <w:t xml:space="preserve">datovány a podepsány </w:t>
      </w:r>
      <w:r w:rsidR="00113932">
        <w:rPr>
          <w:sz w:val="21"/>
          <w:szCs w:val="21"/>
        </w:rPr>
        <w:t>stavbyvedoucím a technickým dozorem investora</w:t>
      </w:r>
      <w:r w:rsidR="00260CF6">
        <w:rPr>
          <w:sz w:val="21"/>
          <w:szCs w:val="21"/>
        </w:rPr>
        <w:t>;</w:t>
      </w:r>
    </w:p>
    <w:p w14:paraId="73719AA9" w14:textId="1EB1001C" w:rsidR="00EB0504" w:rsidRPr="0028657A" w:rsidRDefault="00EB0504" w:rsidP="00FB40E9">
      <w:pPr>
        <w:numPr>
          <w:ilvl w:val="2"/>
          <w:numId w:val="26"/>
        </w:numPr>
        <w:ind w:left="1032" w:hanging="181"/>
        <w:jc w:val="both"/>
        <w:rPr>
          <w:sz w:val="21"/>
          <w:szCs w:val="21"/>
        </w:rPr>
      </w:pPr>
      <w:r w:rsidRPr="0028657A">
        <w:rPr>
          <w:sz w:val="21"/>
          <w:szCs w:val="21"/>
        </w:rPr>
        <w:t>předány v tištěné podob</w:t>
      </w:r>
      <w:r w:rsidR="00113932">
        <w:rPr>
          <w:sz w:val="21"/>
          <w:szCs w:val="21"/>
        </w:rPr>
        <w:t>ě technickému dozoru investora</w:t>
      </w:r>
      <w:r w:rsidRPr="0028657A">
        <w:rPr>
          <w:sz w:val="21"/>
          <w:szCs w:val="21"/>
        </w:rPr>
        <w:t xml:space="preserve"> a zaslány elektronicky ve formátu *.pdf.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2305D5E2"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113932">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3719AB1" w14:textId="77777777" w:rsidR="002870C9" w:rsidRPr="0096212D" w:rsidRDefault="002870C9" w:rsidP="00F61B58">
      <w:pPr>
        <w:spacing w:before="120" w:after="12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141BD685"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26BF9850"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w:t>
      </w:r>
      <w:r w:rsidRPr="003A245C">
        <w:rPr>
          <w:sz w:val="21"/>
          <w:szCs w:val="21"/>
        </w:rPr>
        <w:lastRenderedPageBreak/>
        <w:t xml:space="preserve">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AA89532" w:rsidR="00224502" w:rsidRPr="003A245C" w:rsidRDefault="008E066D" w:rsidP="0086525E">
      <w:pPr>
        <w:numPr>
          <w:ilvl w:val="1"/>
          <w:numId w:val="15"/>
        </w:numPr>
        <w:tabs>
          <w:tab w:val="num" w:pos="900"/>
        </w:tabs>
        <w:spacing w:before="120" w:after="120"/>
        <w:ind w:left="896" w:hanging="357"/>
        <w:jc w:val="both"/>
        <w:rPr>
          <w:sz w:val="21"/>
          <w:szCs w:val="21"/>
        </w:rPr>
      </w:pPr>
      <w:r>
        <w:rPr>
          <w:sz w:val="21"/>
          <w:szCs w:val="21"/>
        </w:rPr>
        <w:t xml:space="preserve">K prověření plnění </w:t>
      </w:r>
      <w:r w:rsidR="00224502" w:rsidRPr="003A245C">
        <w:rPr>
          <w:sz w:val="21"/>
          <w:szCs w:val="21"/>
        </w:rPr>
        <w:t xml:space="preserve">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2A57E736" w14:textId="34E10187" w:rsidR="00380B22" w:rsidRDefault="00224502" w:rsidP="001B721C">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83B143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F20CFB">
        <w:rPr>
          <w:sz w:val="21"/>
          <w:szCs w:val="21"/>
        </w:rPr>
        <w:t>11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3731B85E" w:rsidR="00D738CD" w:rsidRPr="0096212D" w:rsidRDefault="00D738CD" w:rsidP="008E066D">
      <w:pPr>
        <w:numPr>
          <w:ilvl w:val="1"/>
          <w:numId w:val="15"/>
        </w:numPr>
        <w:tabs>
          <w:tab w:val="left" w:pos="1080"/>
        </w:tabs>
        <w:spacing w:before="120" w:after="120"/>
        <w:ind w:left="1080" w:hanging="539"/>
        <w:jc w:val="both"/>
        <w:rPr>
          <w:sz w:val="21"/>
          <w:szCs w:val="21"/>
        </w:rPr>
      </w:pPr>
      <w:r w:rsidRPr="00D738CD">
        <w:rPr>
          <w:sz w:val="21"/>
          <w:szCs w:val="21"/>
        </w:rPr>
        <w:t xml:space="preserve">Poddodavatel je osoba, pomocí které dodavatel plní určitou část díla nebo která má k plnění díla poskytnout určité věci či práva. Náplň činnosti stavbyvedoucího a zástupce stavbyvedoucího nelze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A51DED2" w14:textId="77777777" w:rsidR="00D738CD" w:rsidRPr="0055158D" w:rsidRDefault="00D738CD" w:rsidP="00D738CD">
      <w:pPr>
        <w:numPr>
          <w:ilvl w:val="1"/>
          <w:numId w:val="15"/>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D738CD" w:rsidRPr="0055158D" w14:paraId="09A09A9C" w14:textId="77777777" w:rsidTr="007713D9">
        <w:trPr>
          <w:trHeight w:val="539"/>
        </w:trPr>
        <w:tc>
          <w:tcPr>
            <w:tcW w:w="4110" w:type="dxa"/>
          </w:tcPr>
          <w:p w14:paraId="11DDF19D" w14:textId="77777777" w:rsidR="00D738CD" w:rsidRPr="0055158D" w:rsidRDefault="00D738CD" w:rsidP="007713D9">
            <w:pPr>
              <w:tabs>
                <w:tab w:val="left" w:pos="61"/>
              </w:tabs>
              <w:spacing w:before="120" w:after="120"/>
              <w:ind w:left="61"/>
              <w:jc w:val="both"/>
              <w:rPr>
                <w:sz w:val="21"/>
                <w:szCs w:val="21"/>
              </w:rPr>
            </w:pPr>
            <w:r w:rsidRPr="0055158D">
              <w:rPr>
                <w:sz w:val="21"/>
                <w:szCs w:val="21"/>
              </w:rPr>
              <w:t>Název a adresa obalovny</w:t>
            </w:r>
          </w:p>
        </w:tc>
        <w:tc>
          <w:tcPr>
            <w:tcW w:w="3686" w:type="dxa"/>
          </w:tcPr>
          <w:p w14:paraId="0A8AC6EA" w14:textId="77777777" w:rsidR="00D738CD" w:rsidRPr="0055158D" w:rsidRDefault="00D738CD" w:rsidP="007713D9">
            <w:pPr>
              <w:tabs>
                <w:tab w:val="left" w:pos="61"/>
              </w:tabs>
              <w:spacing w:before="120" w:after="120"/>
              <w:ind w:left="61"/>
              <w:jc w:val="center"/>
              <w:rPr>
                <w:sz w:val="21"/>
                <w:szCs w:val="21"/>
              </w:rPr>
            </w:pPr>
            <w:r w:rsidRPr="0055158D">
              <w:rPr>
                <w:sz w:val="21"/>
                <w:szCs w:val="21"/>
              </w:rPr>
              <w:t>Název poddodavatele, v případě zajištění poddodavatelsky</w:t>
            </w:r>
          </w:p>
        </w:tc>
        <w:tc>
          <w:tcPr>
            <w:tcW w:w="1809" w:type="dxa"/>
          </w:tcPr>
          <w:p w14:paraId="08FDBF4D" w14:textId="77777777" w:rsidR="00D738CD" w:rsidRPr="0055158D" w:rsidRDefault="00D738CD" w:rsidP="007713D9">
            <w:pPr>
              <w:tabs>
                <w:tab w:val="left" w:pos="61"/>
              </w:tabs>
              <w:spacing w:before="120" w:after="120"/>
              <w:ind w:left="61"/>
              <w:jc w:val="both"/>
              <w:rPr>
                <w:sz w:val="21"/>
                <w:szCs w:val="21"/>
              </w:rPr>
            </w:pPr>
            <w:r w:rsidRPr="0055158D">
              <w:rPr>
                <w:sz w:val="21"/>
                <w:szCs w:val="21"/>
              </w:rPr>
              <w:t>IČO případného poddodavatele</w:t>
            </w:r>
          </w:p>
        </w:tc>
      </w:tr>
      <w:tr w:rsidR="00D738CD" w:rsidRPr="0055158D" w14:paraId="27E6D2AD" w14:textId="77777777" w:rsidTr="007713D9">
        <w:trPr>
          <w:trHeight w:val="556"/>
        </w:trPr>
        <w:tc>
          <w:tcPr>
            <w:tcW w:w="4110" w:type="dxa"/>
          </w:tcPr>
          <w:p w14:paraId="7157F789"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686" w:type="dxa"/>
          </w:tcPr>
          <w:p w14:paraId="56C02AB2" w14:textId="77777777" w:rsidR="00D738CD" w:rsidRPr="0055158D" w:rsidRDefault="00D738CD" w:rsidP="007713D9">
            <w:pPr>
              <w:tabs>
                <w:tab w:val="left" w:pos="61"/>
                <w:tab w:val="left" w:pos="6300"/>
              </w:tabs>
              <w:spacing w:before="120" w:after="120"/>
              <w:ind w:left="61"/>
              <w:jc w:val="center"/>
              <w:rPr>
                <w:b/>
                <w:sz w:val="21"/>
                <w:szCs w:val="21"/>
                <w:highlight w:val="yellow"/>
              </w:rPr>
            </w:pPr>
            <w:r w:rsidRPr="0055158D">
              <w:rPr>
                <w:b/>
                <w:sz w:val="21"/>
                <w:szCs w:val="21"/>
                <w:highlight w:val="yellow"/>
              </w:rPr>
              <w:t>***</w:t>
            </w:r>
          </w:p>
        </w:tc>
        <w:tc>
          <w:tcPr>
            <w:tcW w:w="1809" w:type="dxa"/>
          </w:tcPr>
          <w:p w14:paraId="2532C61B"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4922FAC7" w14:textId="70B319C3" w:rsidR="00D738CD" w:rsidRDefault="00D738CD" w:rsidP="00D738CD">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lastRenderedPageBreak/>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399B3D99"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8E066D">
        <w:rPr>
          <w:sz w:val="21"/>
          <w:szCs w:val="21"/>
        </w:rPr>
        <w:t>bude</w:t>
      </w:r>
      <w:r w:rsidR="00C87815">
        <w:rPr>
          <w:sz w:val="21"/>
          <w:szCs w:val="21"/>
        </w:rPr>
        <w:t xml:space="preserve"> </w:t>
      </w:r>
      <w:r w:rsidRPr="0028657A">
        <w:rPr>
          <w:sz w:val="21"/>
          <w:szCs w:val="21"/>
        </w:rPr>
        <w:t>určen koordinátor BOZP na staveništi (dále jen „koordinátor BOZP“).</w:t>
      </w:r>
    </w:p>
    <w:p w14:paraId="73719AE6" w14:textId="77777777"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28657A">
        <w:rPr>
          <w:sz w:val="21"/>
          <w:szCs w:val="21"/>
        </w:rPr>
        <w:t>Zhotovitel je povinen poskytnout koordinátorovi BOZP součinnost</w:t>
      </w:r>
      <w:r w:rsidR="00E15729" w:rsidRPr="0028657A">
        <w:rPr>
          <w:sz w:val="21"/>
          <w:szCs w:val="21"/>
        </w:rPr>
        <w:t xml:space="preserve"> a dále </w:t>
      </w:r>
      <w:r w:rsidR="00641818" w:rsidRPr="0028657A">
        <w:rPr>
          <w:sz w:val="21"/>
          <w:szCs w:val="21"/>
        </w:rPr>
        <w:t>se zavazuje</w:t>
      </w:r>
      <w:r w:rsidR="00641818" w:rsidRPr="003A245C">
        <w:rPr>
          <w:sz w:val="21"/>
          <w:szCs w:val="21"/>
        </w:rPr>
        <w:t xml:space="preserve"> nejpozději </w:t>
      </w:r>
      <w:r w:rsidR="009D2F41" w:rsidRPr="003A245C">
        <w:rPr>
          <w:sz w:val="21"/>
          <w:szCs w:val="21"/>
        </w:rPr>
        <w:t>do</w:t>
      </w:r>
      <w:r w:rsidR="009D2F41">
        <w:rPr>
          <w:sz w:val="21"/>
          <w:szCs w:val="21"/>
        </w:rPr>
        <w:t> </w:t>
      </w:r>
      <w:r w:rsidR="00C02BAC" w:rsidRPr="003A245C">
        <w:rPr>
          <w:sz w:val="21"/>
          <w:szCs w:val="21"/>
        </w:rPr>
        <w:t>3</w:t>
      </w:r>
      <w:r w:rsidR="009D2F41">
        <w:rPr>
          <w:sz w:val="21"/>
          <w:szCs w:val="21"/>
        </w:rPr>
        <w:t> </w:t>
      </w:r>
      <w:r w:rsidR="00C02BAC" w:rsidRPr="003A245C">
        <w:rPr>
          <w:sz w:val="21"/>
          <w:szCs w:val="21"/>
        </w:rPr>
        <w:t>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14:paraId="73719AE7" w14:textId="65CE26AD" w:rsidR="00C1408F" w:rsidRPr="009B32C8"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93645E" w:rsidRPr="009B32C8">
        <w:rPr>
          <w:color w:val="000000" w:themeColor="text1"/>
          <w:sz w:val="21"/>
          <w:szCs w:val="21"/>
        </w:rPr>
        <w:t>je</w:t>
      </w:r>
      <w:r w:rsidRPr="009B32C8">
        <w:rPr>
          <w:color w:val="000000" w:themeColor="text1"/>
          <w:sz w:val="21"/>
          <w:szCs w:val="21"/>
        </w:rPr>
        <w:t xml:space="preserve"> určen autorský dozor </w:t>
      </w:r>
      <w:r w:rsidR="00664241">
        <w:rPr>
          <w:color w:val="000000" w:themeColor="text1"/>
          <w:sz w:val="21"/>
          <w:szCs w:val="21"/>
        </w:rPr>
        <w:t>– pověřený pracovník HBH Projekt pol. s r.o.</w:t>
      </w:r>
      <w:r w:rsidR="009A3549">
        <w:rPr>
          <w:color w:val="000000" w:themeColor="text1"/>
          <w:sz w:val="21"/>
          <w:szCs w:val="21"/>
        </w:rPr>
        <w:t xml:space="preserve"> </w:t>
      </w:r>
      <w:r w:rsidRPr="009B32C8">
        <w:rPr>
          <w:color w:val="000000" w:themeColor="text1"/>
          <w:sz w:val="21"/>
          <w:szCs w:val="21"/>
        </w:rPr>
        <w:t>(dále jen „AD“)</w:t>
      </w:r>
      <w:r w:rsidR="00F620B9">
        <w:rPr>
          <w:color w:val="000000" w:themeColor="text1"/>
          <w:sz w:val="21"/>
          <w:szCs w:val="21"/>
        </w:rPr>
        <w:t>.</w:t>
      </w:r>
      <w:r w:rsidR="008479B6" w:rsidRPr="009B32C8">
        <w:rPr>
          <w:color w:val="000000" w:themeColor="text1"/>
          <w:sz w:val="21"/>
          <w:szCs w:val="21"/>
        </w:rPr>
        <w:t xml:space="preserve"> </w:t>
      </w:r>
      <w:r w:rsidRPr="009B32C8">
        <w:rPr>
          <w:color w:val="000000" w:themeColor="text1"/>
          <w:sz w:val="21"/>
          <w:szCs w:val="21"/>
        </w:rPr>
        <w:t xml:space="preserve"> Zhotovitel je</w:t>
      </w:r>
      <w:r w:rsidR="009D2F41" w:rsidRPr="009B32C8">
        <w:rPr>
          <w:color w:val="000000" w:themeColor="text1"/>
          <w:sz w:val="21"/>
          <w:szCs w:val="21"/>
        </w:rPr>
        <w:t> </w:t>
      </w:r>
      <w:r w:rsidRPr="009B32C8">
        <w:rPr>
          <w:color w:val="000000" w:themeColor="text1"/>
          <w:sz w:val="21"/>
          <w:szCs w:val="21"/>
        </w:rPr>
        <w:t>povinen poskytnout součinnost určenému AD</w:t>
      </w:r>
      <w:r w:rsidR="00F620B9">
        <w:rPr>
          <w:color w:val="000000" w:themeColor="text1"/>
          <w:sz w:val="21"/>
          <w:szCs w:val="21"/>
        </w:rPr>
        <w:t>.</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36843187" w14:textId="77777777" w:rsidR="00D82794" w:rsidRDefault="00D82794" w:rsidP="00D82794">
      <w:pPr>
        <w:numPr>
          <w:ilvl w:val="0"/>
          <w:numId w:val="15"/>
        </w:numPr>
        <w:tabs>
          <w:tab w:val="clear" w:pos="720"/>
          <w:tab w:val="num" w:pos="567"/>
        </w:tabs>
        <w:spacing w:before="120" w:after="120"/>
        <w:ind w:left="567" w:hanging="567"/>
        <w:jc w:val="both"/>
        <w:rPr>
          <w:sz w:val="21"/>
          <w:szCs w:val="21"/>
        </w:rPr>
      </w:pPr>
      <w:r w:rsidRPr="002C7E64">
        <w:rPr>
          <w:sz w:val="21"/>
          <w:szCs w:val="21"/>
        </w:rPr>
        <w:t>Zhotovitel se dále zavazuje ke vzájemné spolupráci a koordinaci stavby se s</w:t>
      </w:r>
      <w:r>
        <w:rPr>
          <w:sz w:val="21"/>
          <w:szCs w:val="21"/>
        </w:rPr>
        <w:t xml:space="preserve">tavbami jiných investorů v prostoru </w:t>
      </w:r>
      <w:r w:rsidRPr="008857CC">
        <w:rPr>
          <w:sz w:val="21"/>
          <w:szCs w:val="21"/>
        </w:rPr>
        <w:t>staveniště, zejména Správy a údržby silnic Jihomoravského kraje.</w:t>
      </w:r>
    </w:p>
    <w:p w14:paraId="4AE0DE1C" w14:textId="26794036" w:rsidR="009F5482" w:rsidRPr="008857CC" w:rsidRDefault="009F5482" w:rsidP="00D82794">
      <w:pPr>
        <w:numPr>
          <w:ilvl w:val="0"/>
          <w:numId w:val="15"/>
        </w:numPr>
        <w:tabs>
          <w:tab w:val="clear" w:pos="720"/>
          <w:tab w:val="num" w:pos="567"/>
        </w:tabs>
        <w:spacing w:before="120" w:after="120"/>
        <w:ind w:left="567" w:hanging="567"/>
        <w:jc w:val="both"/>
        <w:rPr>
          <w:sz w:val="21"/>
          <w:szCs w:val="21"/>
        </w:rPr>
      </w:pPr>
      <w:r>
        <w:rPr>
          <w:sz w:val="21"/>
          <w:szCs w:val="21"/>
        </w:rPr>
        <w:t>Zhotovitel je povinen u</w:t>
      </w:r>
      <w:bookmarkStart w:id="0" w:name="_GoBack"/>
      <w:bookmarkEnd w:id="0"/>
      <w:r>
        <w:rPr>
          <w:sz w:val="21"/>
          <w:szCs w:val="21"/>
        </w:rPr>
        <w:t>možnit a koordinovat stavební práce s překládkou sdělovacích kabelů společnosti CETIN a.s.</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0BE6B041" w:rsidR="00224502" w:rsidRPr="00D82794" w:rsidRDefault="00224502" w:rsidP="00D82794">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D82794" w:rsidRPr="003A245C">
        <w:rPr>
          <w:sz w:val="21"/>
          <w:szCs w:val="21"/>
        </w:rPr>
        <w:t>.</w:t>
      </w:r>
      <w:r w:rsidR="00D82794">
        <w:rPr>
          <w:sz w:val="21"/>
          <w:szCs w:val="21"/>
        </w:rPr>
        <w:t xml:space="preserve"> Prostor staveniště je společný se Správou a údržbou silnic Jihomoravského kraje.</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7777777" w:rsidR="00F017FF" w:rsidRPr="0055158D" w:rsidRDefault="009D2F41" w:rsidP="00FB40E9">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Pr>
          <w:sz w:val="21"/>
          <w:szCs w:val="21"/>
        </w:rPr>
        <w:t>;</w:t>
      </w:r>
    </w:p>
    <w:p w14:paraId="73719B03" w14:textId="77777777" w:rsidR="00615AF3" w:rsidRPr="0055158D" w:rsidRDefault="009D2F41" w:rsidP="00FB40E9">
      <w:pPr>
        <w:numPr>
          <w:ilvl w:val="2"/>
          <w:numId w:val="4"/>
        </w:numPr>
        <w:tabs>
          <w:tab w:val="clear" w:pos="2160"/>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Pr="00664241" w:rsidRDefault="00224502" w:rsidP="00F620B9">
      <w:pPr>
        <w:numPr>
          <w:ilvl w:val="2"/>
          <w:numId w:val="4"/>
        </w:numPr>
        <w:tabs>
          <w:tab w:val="clear" w:pos="2160"/>
          <w:tab w:val="num" w:pos="1418"/>
        </w:tabs>
        <w:ind w:left="1083" w:hanging="181"/>
        <w:jc w:val="both"/>
        <w:rPr>
          <w:sz w:val="21"/>
          <w:szCs w:val="21"/>
        </w:rPr>
      </w:pPr>
      <w:r w:rsidRPr="00664241">
        <w:rPr>
          <w:sz w:val="21"/>
          <w:szCs w:val="21"/>
        </w:rPr>
        <w:t>umístění, údržbu, přemístění a odstranění dočasného dopravního značení</w:t>
      </w:r>
      <w:r w:rsidR="00D62877" w:rsidRPr="00664241">
        <w:rPr>
          <w:sz w:val="21"/>
          <w:szCs w:val="21"/>
        </w:rPr>
        <w:t>;</w:t>
      </w:r>
    </w:p>
    <w:p w14:paraId="29030E4B" w14:textId="01E9D63F" w:rsidR="005A47D4" w:rsidRPr="00F620B9" w:rsidRDefault="00D62877" w:rsidP="00F620B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lastRenderedPageBreak/>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26E6EBB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8E066D">
        <w:rPr>
          <w:sz w:val="21"/>
          <w:szCs w:val="21"/>
        </w:rPr>
        <w:t>y tato byla oprávněná dle čl. V</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528ADDF9"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8E066D">
        <w:rPr>
          <w:sz w:val="21"/>
          <w:szCs w:val="21"/>
        </w:rPr>
        <w:t> *.xls</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9F5482"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EBFC473"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sta</w:t>
      </w:r>
      <w:r w:rsidR="00D82794">
        <w:rPr>
          <w:sz w:val="21"/>
          <w:szCs w:val="21"/>
        </w:rPr>
        <w:t xml:space="preserve">rosta </w:t>
      </w:r>
      <w:r w:rsidR="007C28D2">
        <w:rPr>
          <w:sz w:val="21"/>
          <w:szCs w:val="21"/>
        </w:rPr>
        <w:t>nebo</w:t>
      </w:r>
      <w:r w:rsidR="00664241">
        <w:rPr>
          <w:sz w:val="21"/>
          <w:szCs w:val="21"/>
        </w:rPr>
        <w:t xml:space="preserve"> místostarosta</w:t>
      </w:r>
      <w:r w:rsidR="007C28D2">
        <w:rPr>
          <w:sz w:val="21"/>
          <w:szCs w:val="21"/>
        </w:rPr>
        <w:t>,</w:t>
      </w:r>
      <w:r w:rsidR="00D82794">
        <w:rPr>
          <w:sz w:val="21"/>
          <w:szCs w:val="21"/>
        </w:rPr>
        <w:t xml:space="preserve"> technick</w:t>
      </w:r>
      <w:r w:rsidRPr="00577903">
        <w:rPr>
          <w:sz w:val="21"/>
          <w:szCs w:val="21"/>
        </w:rPr>
        <w:t>ý dozor</w:t>
      </w:r>
      <w:r w:rsidR="00D82794">
        <w:rPr>
          <w:sz w:val="21"/>
          <w:szCs w:val="21"/>
        </w:rPr>
        <w:t xml:space="preserve"> investora</w:t>
      </w:r>
      <w:r w:rsidR="00224502" w:rsidRPr="00577903">
        <w:rPr>
          <w:sz w:val="21"/>
          <w:szCs w:val="21"/>
        </w:rPr>
        <w:t>.</w:t>
      </w:r>
    </w:p>
    <w:p w14:paraId="73719B26" w14:textId="1DE05E4D" w:rsidR="00E7317C" w:rsidRPr="003A245C" w:rsidRDefault="00D82794" w:rsidP="00735186">
      <w:pPr>
        <w:numPr>
          <w:ilvl w:val="0"/>
          <w:numId w:val="8"/>
        </w:numPr>
        <w:tabs>
          <w:tab w:val="clear" w:pos="720"/>
          <w:tab w:val="num" w:pos="540"/>
        </w:tabs>
        <w:spacing w:before="120" w:after="120"/>
        <w:ind w:left="540" w:hanging="540"/>
        <w:jc w:val="both"/>
        <w:rPr>
          <w:sz w:val="21"/>
          <w:szCs w:val="21"/>
        </w:rPr>
      </w:pPr>
      <w:r>
        <w:rPr>
          <w:sz w:val="21"/>
          <w:szCs w:val="21"/>
        </w:rPr>
        <w:t>Starosta</w:t>
      </w:r>
      <w:r w:rsidR="007C28D2">
        <w:rPr>
          <w:sz w:val="21"/>
          <w:szCs w:val="21"/>
        </w:rPr>
        <w:t xml:space="preserve"> nebo místostarosta</w:t>
      </w:r>
      <w:r w:rsidR="00224502" w:rsidRPr="00DF04C6">
        <w:rPr>
          <w:sz w:val="21"/>
          <w:szCs w:val="21"/>
        </w:rPr>
        <w:t xml:space="preserv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00224502" w:rsidRPr="003A245C">
        <w:rPr>
          <w:sz w:val="21"/>
          <w:szCs w:val="21"/>
        </w:rPr>
        <w:t xml:space="preserve"> související s touto smlouvou. Je</w:t>
      </w:r>
      <w:r w:rsidR="009D2F41">
        <w:rPr>
          <w:sz w:val="21"/>
          <w:szCs w:val="21"/>
        </w:rPr>
        <w:t> </w:t>
      </w:r>
      <w:r w:rsidR="00224502" w:rsidRPr="003A245C">
        <w:rPr>
          <w:sz w:val="21"/>
          <w:szCs w:val="21"/>
        </w:rPr>
        <w:t>mu</w:t>
      </w:r>
      <w:r w:rsidR="009D2F41">
        <w:rPr>
          <w:sz w:val="21"/>
          <w:szCs w:val="21"/>
        </w:rPr>
        <w:t> </w:t>
      </w:r>
      <w:r w:rsidR="00224502" w:rsidRPr="003A245C">
        <w:rPr>
          <w:sz w:val="21"/>
          <w:szCs w:val="21"/>
        </w:rPr>
        <w:t>vyhrazeno právo uz</w:t>
      </w:r>
      <w:r>
        <w:rPr>
          <w:sz w:val="21"/>
          <w:szCs w:val="21"/>
        </w:rPr>
        <w:t>avírat dodatky k této smlouvě, dále je oprávněn zejména:</w:t>
      </w:r>
    </w:p>
    <w:p w14:paraId="73719B28" w14:textId="0809697E"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stanovit za objednatele, zda vznikla potřeba dodatečných prací, změn, či nových zakázek</w:t>
      </w:r>
      <w:r w:rsidR="009D2F41">
        <w:rPr>
          <w:sz w:val="21"/>
          <w:szCs w:val="21"/>
        </w:rPr>
        <w:t>;</w:t>
      </w:r>
    </w:p>
    <w:p w14:paraId="73719B29" w14:textId="45741661"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13347F79"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rozhodnout o tom, že bude jednáno se zhotovitelem o změně rozsahu díla v případě, že odpadne potřeba objednatele provést dílo ve sjednaném rozsahu</w:t>
      </w:r>
      <w:r w:rsidR="009D2F41">
        <w:rPr>
          <w:sz w:val="21"/>
          <w:szCs w:val="21"/>
        </w:rPr>
        <w:t>;</w:t>
      </w:r>
    </w:p>
    <w:p w14:paraId="73719B2B" w14:textId="1987CF48"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udělit souhlas s využitím </w:t>
      </w:r>
      <w:r w:rsidR="005502B4">
        <w:rPr>
          <w:sz w:val="21"/>
          <w:szCs w:val="21"/>
        </w:rPr>
        <w:t>pod</w:t>
      </w:r>
      <w:r w:rsidRPr="003A245C">
        <w:rPr>
          <w:sz w:val="21"/>
          <w:szCs w:val="21"/>
        </w:rPr>
        <w:t>dodavatele</w:t>
      </w:r>
      <w:r w:rsidR="009D2F41">
        <w:rPr>
          <w:sz w:val="21"/>
          <w:szCs w:val="21"/>
        </w:rPr>
        <w:t>;</w:t>
      </w:r>
    </w:p>
    <w:p w14:paraId="73719B2C" w14:textId="0127E31B"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udílet zhotoviteli pokyny</w:t>
      </w:r>
      <w:r w:rsidR="00D82794" w:rsidRPr="00D82794">
        <w:rPr>
          <w:sz w:val="21"/>
          <w:szCs w:val="21"/>
        </w:rPr>
        <w:t xml:space="preserve"> </w:t>
      </w:r>
      <w:r w:rsidR="00D82794" w:rsidRPr="00EB49CA">
        <w:rPr>
          <w:sz w:val="21"/>
          <w:szCs w:val="21"/>
        </w:rPr>
        <w:t>včetně pokynu k zastavení prací na části stavby či stavbě</w:t>
      </w:r>
      <w:r w:rsidR="009D2F41">
        <w:rPr>
          <w:sz w:val="21"/>
          <w:szCs w:val="21"/>
        </w:rPr>
        <w:t>;</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lastRenderedPageBreak/>
        <w:t>převzít od zhotovitele řádně provedené dílo nebo jeho část, vyčištěné stav</w:t>
      </w:r>
      <w:r w:rsidR="00286E72">
        <w:rPr>
          <w:sz w:val="21"/>
          <w:szCs w:val="21"/>
        </w:rPr>
        <w:t>eniště a veškeré písemnosti;</w:t>
      </w:r>
    </w:p>
    <w:p w14:paraId="73719B32" w14:textId="1B036D30" w:rsidR="00224502" w:rsidRPr="00D82794" w:rsidRDefault="00224502" w:rsidP="00D82794">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CCBC8CE" w:rsidR="00D738CD" w:rsidRPr="003C7273"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7" w14:textId="0687021B" w:rsidR="005F1061" w:rsidRPr="00D82794" w:rsidRDefault="00D738CD" w:rsidP="00D82794">
      <w:pPr>
        <w:numPr>
          <w:ilvl w:val="2"/>
          <w:numId w:val="8"/>
        </w:numPr>
        <w:tabs>
          <w:tab w:val="clear" w:pos="2160"/>
          <w:tab w:val="num" w:pos="1080"/>
        </w:tabs>
        <w:ind w:left="1080"/>
        <w:jc w:val="both"/>
        <w:rPr>
          <w:sz w:val="21"/>
          <w:szCs w:val="21"/>
        </w:rPr>
      </w:pPr>
      <w:r w:rsidRPr="00D738CD">
        <w:rPr>
          <w:sz w:val="21"/>
          <w:szCs w:val="21"/>
        </w:rPr>
        <w:t>přebír</w:t>
      </w:r>
      <w:r w:rsidR="00D82794">
        <w:rPr>
          <w:sz w:val="21"/>
          <w:szCs w:val="21"/>
        </w:rPr>
        <w:t>at od zhotovitele změnové listy.</w:t>
      </w:r>
    </w:p>
    <w:p w14:paraId="73719B38" w14:textId="5E9D0FE5" w:rsidR="00224502" w:rsidRPr="00D738CD" w:rsidRDefault="00224502" w:rsidP="00D738CD">
      <w:pPr>
        <w:pStyle w:val="Odstavecseseznamem"/>
        <w:numPr>
          <w:ilvl w:val="0"/>
          <w:numId w:val="8"/>
        </w:numPr>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0D7130AB" w:rsidR="00224502" w:rsidRPr="003A245C" w:rsidRDefault="00224502" w:rsidP="00D738CD">
      <w:pPr>
        <w:numPr>
          <w:ilvl w:val="0"/>
          <w:numId w:val="8"/>
        </w:numPr>
        <w:spacing w:before="120" w:after="120"/>
        <w:ind w:left="540" w:hanging="540"/>
        <w:jc w:val="both"/>
        <w:rPr>
          <w:sz w:val="21"/>
          <w:szCs w:val="21"/>
        </w:rPr>
      </w:pPr>
      <w:r w:rsidRPr="003A245C">
        <w:rPr>
          <w:sz w:val="21"/>
          <w:szCs w:val="21"/>
        </w:rPr>
        <w:t>Oprávněnou osobou zhotovitele je stavbyvedoucí.</w:t>
      </w:r>
    </w:p>
    <w:p w14:paraId="582BD603" w14:textId="77777777" w:rsidR="00D738CD" w:rsidRPr="00321D6B" w:rsidRDefault="00D738CD" w:rsidP="00D738CD">
      <w:pPr>
        <w:spacing w:before="120" w:after="120"/>
        <w:ind w:left="72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42C9F166" w:rsidR="00D738CD" w:rsidRPr="003A245C" w:rsidRDefault="00D738CD" w:rsidP="00D738CD">
      <w:pPr>
        <w:spacing w:before="120" w:after="120"/>
        <w:ind w:left="720"/>
        <w:jc w:val="both"/>
        <w:rPr>
          <w:sz w:val="21"/>
          <w:szCs w:val="21"/>
        </w:rPr>
      </w:pPr>
      <w:r w:rsidRPr="003A245C">
        <w:rPr>
          <w:sz w:val="21"/>
          <w:szCs w:val="21"/>
        </w:rPr>
        <w:t>Stavbyvedoucí</w:t>
      </w:r>
      <w:r w:rsidR="008E066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stavbyvedoucí</w:t>
      </w:r>
      <w:r w:rsidR="008E066D">
        <w:rPr>
          <w:sz w:val="21"/>
          <w:szCs w:val="21"/>
        </w:rPr>
        <w:t>ho</w:t>
      </w:r>
      <w:r>
        <w:rPr>
          <w:sz w:val="21"/>
          <w:szCs w:val="21"/>
        </w:rPr>
        <w:t>.</w:t>
      </w:r>
    </w:p>
    <w:p w14:paraId="2DA15100" w14:textId="77777777" w:rsidR="00D738CD" w:rsidRPr="003A245C" w:rsidRDefault="00D738CD" w:rsidP="00D738CD">
      <w:pPr>
        <w:spacing w:before="120" w:after="120"/>
        <w:ind w:left="72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54AC52A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5A884491" w:rsidR="00B06449" w:rsidRPr="00577903" w:rsidRDefault="00B06449" w:rsidP="00B06449">
            <w:pPr>
              <w:tabs>
                <w:tab w:val="num" w:pos="432"/>
              </w:tabs>
              <w:spacing w:before="120" w:after="120"/>
              <w:rPr>
                <w:sz w:val="21"/>
                <w:szCs w:val="21"/>
              </w:rPr>
            </w:pPr>
            <w:r>
              <w:rPr>
                <w:sz w:val="21"/>
                <w:szCs w:val="21"/>
              </w:rPr>
              <w:t xml:space="preserve">        </w:t>
            </w:r>
            <w:r w:rsidRPr="00577903">
              <w:rPr>
                <w:sz w:val="21"/>
                <w:szCs w:val="21"/>
              </w:rPr>
              <w:t xml:space="preserve">Vodorovné </w:t>
            </w:r>
            <w:r>
              <w:rPr>
                <w:sz w:val="21"/>
                <w:szCs w:val="21"/>
              </w:rPr>
              <w:t xml:space="preserve">dopravní </w:t>
            </w:r>
            <w:r w:rsidRPr="00577903">
              <w:rPr>
                <w:sz w:val="21"/>
                <w:szCs w:val="21"/>
              </w:rPr>
              <w:t>značení plastem</w:t>
            </w:r>
          </w:p>
        </w:tc>
        <w:tc>
          <w:tcPr>
            <w:tcW w:w="1334" w:type="dxa"/>
          </w:tcPr>
          <w:p w14:paraId="5F7CC085" w14:textId="0293CEBF" w:rsidR="00B06449" w:rsidRDefault="00B06449" w:rsidP="00F620B9">
            <w:pPr>
              <w:tabs>
                <w:tab w:val="num" w:pos="72"/>
              </w:tabs>
              <w:spacing w:before="120" w:after="120"/>
              <w:ind w:left="72"/>
              <w:rPr>
                <w:sz w:val="21"/>
                <w:szCs w:val="21"/>
              </w:rPr>
            </w:pPr>
            <w:r w:rsidRPr="00577903">
              <w:rPr>
                <w:sz w:val="21"/>
                <w:szCs w:val="21"/>
              </w:rPr>
              <w:t xml:space="preserve">  60 měsíců</w:t>
            </w:r>
          </w:p>
          <w:p w14:paraId="196F45B2" w14:textId="77777777" w:rsidR="00B06449" w:rsidRPr="00577903" w:rsidRDefault="00B06449" w:rsidP="000D07B3">
            <w:pPr>
              <w:tabs>
                <w:tab w:val="num" w:pos="72"/>
              </w:tabs>
              <w:spacing w:before="120" w:after="120"/>
              <w:rPr>
                <w:sz w:val="21"/>
                <w:szCs w:val="21"/>
              </w:rPr>
            </w:pPr>
            <w:r>
              <w:rPr>
                <w:sz w:val="21"/>
                <w:szCs w:val="21"/>
              </w:rPr>
              <w:t xml:space="preserve">   </w:t>
            </w:r>
            <w:r w:rsidRPr="00577903">
              <w:rPr>
                <w:sz w:val="21"/>
                <w:szCs w:val="21"/>
              </w:rPr>
              <w:t>36 měsíců</w:t>
            </w:r>
          </w:p>
        </w:tc>
      </w:tr>
    </w:tbl>
    <w:p w14:paraId="73719B50" w14:textId="70F6A893"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 xml:space="preserve">v čl. </w:t>
      </w:r>
      <w:r w:rsidR="005E7CD9">
        <w:rPr>
          <w:sz w:val="21"/>
          <w:szCs w:val="21"/>
        </w:rPr>
        <w:t>I</w:t>
      </w:r>
      <w:r w:rsidRPr="00B07BF8">
        <w:rPr>
          <w:sz w:val="21"/>
          <w:szCs w:val="21"/>
        </w:rPr>
        <w:t>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lastRenderedPageBreak/>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59A47C1"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5E7CD9">
              <w:rPr>
                <w:sz w:val="21"/>
                <w:szCs w:val="21"/>
              </w:rPr>
              <w:t>V</w:t>
            </w:r>
            <w:r w:rsidR="00AA0700" w:rsidRPr="00FC2873">
              <w:rPr>
                <w:sz w:val="21"/>
                <w:szCs w:val="21"/>
              </w:rPr>
              <w:t>. odst. 1. této smlouvy</w:t>
            </w:r>
          </w:p>
        </w:tc>
        <w:tc>
          <w:tcPr>
            <w:tcW w:w="2694" w:type="dxa"/>
            <w:vAlign w:val="bottom"/>
          </w:tcPr>
          <w:p w14:paraId="73719B57" w14:textId="530122D9" w:rsidR="00224502" w:rsidRPr="00111FC0" w:rsidRDefault="00305D8A" w:rsidP="007551C5">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D738CD">
              <w:rPr>
                <w:sz w:val="21"/>
                <w:szCs w:val="21"/>
              </w:rPr>
              <w:t>5</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15266095" w:rsidR="0037273A" w:rsidRPr="00111FC0" w:rsidRDefault="00D05B0E" w:rsidP="007551C5">
            <w:pPr>
              <w:tabs>
                <w:tab w:val="num" w:pos="525"/>
              </w:tabs>
              <w:spacing w:before="120" w:after="120"/>
              <w:ind w:left="525"/>
              <w:rPr>
                <w:sz w:val="21"/>
                <w:szCs w:val="21"/>
              </w:rPr>
            </w:pPr>
            <w:r>
              <w:rPr>
                <w:sz w:val="21"/>
                <w:szCs w:val="21"/>
              </w:rPr>
              <w:t xml:space="preserve"> </w:t>
            </w:r>
            <w:r w:rsidR="00F620B9">
              <w:rPr>
                <w:sz w:val="21"/>
                <w:szCs w:val="21"/>
              </w:rPr>
              <w:t xml:space="preserve"> </w:t>
            </w:r>
            <w:r w:rsidR="00D738CD">
              <w:rPr>
                <w:sz w:val="21"/>
                <w:szCs w:val="21"/>
              </w:rPr>
              <w:t>5</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0088CD51"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5E7CD9">
              <w:rPr>
                <w:sz w:val="21"/>
                <w:szCs w:val="21"/>
              </w:rPr>
              <w:t>čl. V</w:t>
            </w:r>
            <w:r w:rsidRPr="00FC2873">
              <w:rPr>
                <w:sz w:val="21"/>
                <w:szCs w:val="21"/>
              </w:rPr>
              <w:t>. odst. 1. této smlouvy</w:t>
            </w:r>
          </w:p>
        </w:tc>
        <w:tc>
          <w:tcPr>
            <w:tcW w:w="2694" w:type="dxa"/>
            <w:vAlign w:val="bottom"/>
          </w:tcPr>
          <w:p w14:paraId="17E05DCF" w14:textId="3467E825" w:rsidR="007551C5" w:rsidRDefault="007551C5" w:rsidP="007551C5">
            <w:pPr>
              <w:tabs>
                <w:tab w:val="num" w:pos="525"/>
              </w:tabs>
              <w:spacing w:before="120" w:after="120"/>
              <w:ind w:left="525"/>
              <w:rPr>
                <w:sz w:val="21"/>
                <w:szCs w:val="21"/>
              </w:rPr>
            </w:pPr>
            <w:r>
              <w:rPr>
                <w:sz w:val="21"/>
                <w:szCs w:val="21"/>
              </w:rPr>
              <w:t xml:space="preserve">  1</w:t>
            </w:r>
            <w:r w:rsidRPr="0055158D">
              <w:rPr>
                <w:sz w:val="21"/>
                <w:szCs w:val="21"/>
              </w:rPr>
              <w:t>.000,-Kč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3D8C4D14" w:rsidR="00224502" w:rsidRPr="0055158D" w:rsidRDefault="00D05B0E" w:rsidP="00385842">
            <w:pPr>
              <w:tabs>
                <w:tab w:val="num" w:pos="525"/>
              </w:tabs>
              <w:spacing w:before="120" w:after="120"/>
              <w:ind w:left="525"/>
              <w:rPr>
                <w:sz w:val="21"/>
                <w:szCs w:val="21"/>
              </w:rPr>
            </w:pPr>
            <w:r>
              <w:rPr>
                <w:sz w:val="21"/>
                <w:szCs w:val="21"/>
              </w:rPr>
              <w:t xml:space="preserve"> </w:t>
            </w:r>
            <w:r w:rsidR="00F620B9">
              <w:rPr>
                <w:sz w:val="21"/>
                <w:szCs w:val="21"/>
              </w:rPr>
              <w:t xml:space="preserve"> </w:t>
            </w:r>
            <w:r w:rsidR="00D738CD">
              <w:rPr>
                <w:sz w:val="21"/>
                <w:szCs w:val="21"/>
              </w:rPr>
              <w:t>5</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2C4EC79C" w:rsidR="00224502" w:rsidRPr="00111FC0" w:rsidRDefault="00305D8A" w:rsidP="00385842">
            <w:pPr>
              <w:tabs>
                <w:tab w:val="num" w:pos="525"/>
              </w:tabs>
              <w:spacing w:before="120" w:after="120"/>
              <w:ind w:left="525"/>
              <w:rPr>
                <w:sz w:val="21"/>
                <w:szCs w:val="21"/>
              </w:rPr>
            </w:pPr>
            <w:r>
              <w:rPr>
                <w:sz w:val="21"/>
                <w:szCs w:val="21"/>
              </w:rPr>
              <w:t xml:space="preserve">   </w:t>
            </w:r>
            <w:r w:rsidR="00385842">
              <w:rPr>
                <w:sz w:val="21"/>
                <w:szCs w:val="21"/>
              </w:rPr>
              <w:t>3</w:t>
            </w:r>
            <w:r w:rsidR="00A40D71">
              <w:rPr>
                <w:sz w:val="21"/>
                <w:szCs w:val="21"/>
              </w:rPr>
              <w:t>.</w:t>
            </w:r>
            <w:r w:rsidR="002A4703" w:rsidRPr="00111FC0">
              <w:rPr>
                <w:sz w:val="21"/>
                <w:szCs w:val="21"/>
              </w:rPr>
              <w:t>00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037E8199" w:rsidR="00224502" w:rsidRPr="00111FC0" w:rsidRDefault="00F620B9" w:rsidP="00111FC0">
            <w:pPr>
              <w:tabs>
                <w:tab w:val="num" w:pos="525"/>
              </w:tabs>
              <w:spacing w:before="120" w:after="120"/>
              <w:ind w:left="525"/>
              <w:rPr>
                <w:sz w:val="21"/>
                <w:szCs w:val="21"/>
              </w:rPr>
            </w:pPr>
            <w:r>
              <w:rPr>
                <w:sz w:val="21"/>
                <w:szCs w:val="21"/>
              </w:rPr>
              <w:t xml:space="preserve">  7</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21F31B06" w:rsidR="00B30916" w:rsidRPr="00FC2873" w:rsidRDefault="00B30916" w:rsidP="00111FC0">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 xml:space="preserve">odsouhlasených objednatelem ve lhůtě stanovené čl. </w:t>
            </w:r>
            <w:r w:rsidR="005E7CD9">
              <w:rPr>
                <w:sz w:val="21"/>
                <w:szCs w:val="21"/>
              </w:rPr>
              <w:t>I</w:t>
            </w:r>
            <w:r w:rsidRPr="00FC2873">
              <w:rPr>
                <w:sz w:val="21"/>
                <w:szCs w:val="21"/>
              </w:rPr>
              <w:t>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7FD98BB5" w:rsidR="00B30916" w:rsidRPr="00111FC0" w:rsidRDefault="00D05B0E" w:rsidP="00981415">
            <w:pPr>
              <w:tabs>
                <w:tab w:val="num" w:pos="525"/>
              </w:tabs>
              <w:spacing w:before="120" w:after="120"/>
              <w:ind w:left="525"/>
              <w:rPr>
                <w:sz w:val="21"/>
                <w:szCs w:val="21"/>
              </w:rPr>
            </w:pPr>
            <w:r>
              <w:rPr>
                <w:sz w:val="21"/>
                <w:szCs w:val="21"/>
              </w:rPr>
              <w:t xml:space="preserve"> </w:t>
            </w:r>
            <w:r w:rsidR="00F620B9">
              <w:rPr>
                <w:sz w:val="21"/>
                <w:szCs w:val="21"/>
              </w:rPr>
              <w:t xml:space="preserve">  7</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D4B8F9E" w14:textId="77777777" w:rsidR="00A40D71" w:rsidRPr="005E7CD9" w:rsidRDefault="00A40D71" w:rsidP="00A40D71">
      <w:pPr>
        <w:numPr>
          <w:ilvl w:val="0"/>
          <w:numId w:val="6"/>
        </w:numPr>
        <w:tabs>
          <w:tab w:val="clear" w:pos="720"/>
          <w:tab w:val="num" w:pos="426"/>
        </w:tabs>
        <w:spacing w:before="120" w:after="120"/>
        <w:ind w:left="567" w:hanging="720"/>
        <w:jc w:val="both"/>
        <w:rPr>
          <w:sz w:val="21"/>
          <w:szCs w:val="21"/>
        </w:rPr>
      </w:pPr>
      <w:r w:rsidRPr="005E7CD9">
        <w:rPr>
          <w:sz w:val="21"/>
          <w:szCs w:val="21"/>
        </w:rPr>
        <w:t>Bankovní záruka</w:t>
      </w:r>
    </w:p>
    <w:p w14:paraId="76D16A0D" w14:textId="77777777" w:rsidR="00A40D71" w:rsidRPr="005E7CD9" w:rsidRDefault="00A40D71" w:rsidP="00A40D71">
      <w:pPr>
        <w:numPr>
          <w:ilvl w:val="1"/>
          <w:numId w:val="6"/>
        </w:numPr>
        <w:tabs>
          <w:tab w:val="clear" w:pos="810"/>
          <w:tab w:val="num" w:pos="900"/>
        </w:tabs>
        <w:spacing w:before="120" w:after="120"/>
        <w:ind w:left="900" w:hanging="360"/>
        <w:jc w:val="both"/>
        <w:rPr>
          <w:sz w:val="21"/>
          <w:szCs w:val="21"/>
        </w:rPr>
      </w:pPr>
      <w:r w:rsidRPr="005E7CD9">
        <w:rPr>
          <w:sz w:val="21"/>
          <w:szCs w:val="21"/>
        </w:rPr>
        <w:t>Zhotovitel je povinen objednateli předložit záruční listinu bankovní záruky ve lhůtě dle této smlouvy vystavenou oprávněným subjektem sídlícím v EU, nebo ve státě písemně odsouhlaseném objednatelem.</w:t>
      </w:r>
    </w:p>
    <w:p w14:paraId="5ADE63C4" w14:textId="117228F7" w:rsidR="00A40D71" w:rsidRPr="005E7CD9" w:rsidRDefault="00A40D71" w:rsidP="00A40D71">
      <w:pPr>
        <w:numPr>
          <w:ilvl w:val="1"/>
          <w:numId w:val="6"/>
        </w:numPr>
        <w:tabs>
          <w:tab w:val="clear" w:pos="810"/>
          <w:tab w:val="num" w:pos="900"/>
        </w:tabs>
        <w:spacing w:before="120" w:after="120"/>
        <w:ind w:left="900" w:hanging="360"/>
        <w:jc w:val="both"/>
        <w:rPr>
          <w:sz w:val="21"/>
          <w:szCs w:val="21"/>
        </w:rPr>
      </w:pPr>
      <w:r w:rsidRPr="005E7CD9">
        <w:rPr>
          <w:sz w:val="21"/>
          <w:szCs w:val="21"/>
        </w:rPr>
        <w:t xml:space="preserve">Záruka bude vystavena na částku ve výši </w:t>
      </w:r>
      <w:r w:rsidR="00D21492" w:rsidRPr="005E7CD9">
        <w:rPr>
          <w:b/>
          <w:sz w:val="21"/>
          <w:szCs w:val="21"/>
        </w:rPr>
        <w:t>7</w:t>
      </w:r>
      <w:r w:rsidR="00D4477A" w:rsidRPr="005E7CD9">
        <w:rPr>
          <w:b/>
          <w:sz w:val="21"/>
          <w:szCs w:val="21"/>
        </w:rPr>
        <w:t>5</w:t>
      </w:r>
      <w:r w:rsidRPr="005E7CD9">
        <w:rPr>
          <w:b/>
          <w:sz w:val="21"/>
          <w:szCs w:val="21"/>
        </w:rPr>
        <w:t>0.000,- Kč</w:t>
      </w:r>
      <w:r w:rsidRPr="005E7CD9">
        <w:rPr>
          <w:sz w:val="21"/>
          <w:szCs w:val="21"/>
        </w:rPr>
        <w:t xml:space="preserve">. </w:t>
      </w:r>
    </w:p>
    <w:p w14:paraId="20A6378A" w14:textId="77777777" w:rsidR="00A40D71" w:rsidRPr="005E7CD9" w:rsidRDefault="00A40D71" w:rsidP="00A40D71">
      <w:pPr>
        <w:numPr>
          <w:ilvl w:val="1"/>
          <w:numId w:val="6"/>
        </w:numPr>
        <w:tabs>
          <w:tab w:val="clear" w:pos="810"/>
          <w:tab w:val="num" w:pos="900"/>
        </w:tabs>
        <w:spacing w:before="120" w:after="120"/>
        <w:ind w:left="900" w:hanging="360"/>
        <w:jc w:val="both"/>
        <w:rPr>
          <w:sz w:val="21"/>
          <w:szCs w:val="21"/>
        </w:rPr>
      </w:pPr>
      <w:r w:rsidRPr="005E7CD9">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23AD5ABD" w14:textId="4E4C38A4" w:rsidR="00A40D71" w:rsidRPr="005E7CD9" w:rsidRDefault="00A40D71" w:rsidP="00A40D71">
      <w:pPr>
        <w:numPr>
          <w:ilvl w:val="1"/>
          <w:numId w:val="6"/>
        </w:numPr>
        <w:tabs>
          <w:tab w:val="clear" w:pos="810"/>
          <w:tab w:val="num" w:pos="900"/>
        </w:tabs>
        <w:spacing w:before="120" w:after="120"/>
        <w:ind w:left="900" w:hanging="360"/>
        <w:jc w:val="both"/>
        <w:rPr>
          <w:sz w:val="21"/>
          <w:szCs w:val="21"/>
        </w:rPr>
      </w:pPr>
      <w:r w:rsidRPr="005E7CD9">
        <w:rPr>
          <w:sz w:val="21"/>
          <w:szCs w:val="21"/>
        </w:rPr>
        <w:t>Záruka bude bezpodmínečná, neodvolatelná a bude vystavena na dobu odpovídající záruční lhůtě „Záruky za veškerá plnění, není-li stanoveno jinak“</w:t>
      </w:r>
      <w:r w:rsidR="00D738CD" w:rsidRPr="005E7CD9">
        <w:rPr>
          <w:sz w:val="21"/>
          <w:szCs w:val="21"/>
        </w:rPr>
        <w:t>, nejdéle však 60 měsíců plus 3 měsíce.</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lastRenderedPageBreak/>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1DF2248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 </w:t>
      </w:r>
      <w:r w:rsidRPr="003A245C">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06CB18B"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2C93000D" w14:textId="743EA601" w:rsidR="00925E83" w:rsidRPr="00925E83" w:rsidRDefault="00925E83" w:rsidP="00925E83">
      <w:pPr>
        <w:numPr>
          <w:ilvl w:val="0"/>
          <w:numId w:val="11"/>
        </w:numPr>
        <w:tabs>
          <w:tab w:val="clear" w:pos="720"/>
          <w:tab w:val="num" w:pos="540"/>
          <w:tab w:val="num" w:pos="810"/>
        </w:tabs>
        <w:spacing w:before="120" w:after="120"/>
        <w:ind w:left="540" w:hanging="540"/>
        <w:jc w:val="both"/>
        <w:rPr>
          <w:sz w:val="21"/>
          <w:szCs w:val="21"/>
        </w:rPr>
      </w:pPr>
      <w:r w:rsidRPr="00925E83">
        <w:rPr>
          <w:sz w:val="21"/>
          <w:szCs w:val="22"/>
        </w:rPr>
        <w:t>Tato smlouva podléhá povinnosti zveřejnění dle zákona č. 340/2015 Sb. o registru smluv, ve znění pozdějších předpisů. Uveřejnění smlouvy zajišťuje objednatel. Zhotovitel označil tyto jmenovitě uvedená data za citlivá, která nepodléhají zveřejnění:</w:t>
      </w:r>
      <w:r w:rsidRPr="00925E83">
        <w:rPr>
          <w:sz w:val="21"/>
          <w:szCs w:val="22"/>
          <w:highlight w:val="yellow"/>
        </w:rPr>
        <w:t>…………………</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lastRenderedPageBreak/>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675306EA" w14:textId="636C8ED6" w:rsidR="00D82794" w:rsidRPr="00D82794" w:rsidRDefault="00D82794" w:rsidP="00D82794">
      <w:pPr>
        <w:numPr>
          <w:ilvl w:val="0"/>
          <w:numId w:val="11"/>
        </w:numPr>
        <w:tabs>
          <w:tab w:val="clear" w:pos="720"/>
          <w:tab w:val="num" w:pos="567"/>
        </w:tabs>
        <w:spacing w:before="120" w:after="120"/>
        <w:ind w:left="567" w:hanging="567"/>
        <w:jc w:val="both"/>
        <w:rPr>
          <w:sz w:val="21"/>
          <w:szCs w:val="21"/>
        </w:rPr>
      </w:pPr>
      <w:r w:rsidRPr="00183A51">
        <w:rPr>
          <w:sz w:val="21"/>
          <w:szCs w:val="21"/>
        </w:rPr>
        <w:t xml:space="preserve">Uzavření </w:t>
      </w:r>
      <w:r w:rsidRPr="008B2608">
        <w:rPr>
          <w:sz w:val="21"/>
          <w:szCs w:val="21"/>
        </w:rPr>
        <w:t>této smlouvy o dílo bylo schváleno na schůzi …………….. č. ……..../20</w:t>
      </w:r>
      <w:r w:rsidR="00ED78C3">
        <w:rPr>
          <w:sz w:val="21"/>
          <w:szCs w:val="21"/>
        </w:rPr>
        <w:t>20</w:t>
      </w:r>
      <w:r w:rsidRPr="008B2608">
        <w:rPr>
          <w:sz w:val="21"/>
          <w:szCs w:val="21"/>
        </w:rPr>
        <w:t xml:space="preserve"> konané dne …………….. usnesení č. …………. .  </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6D115E3E" w:rsidR="00224502" w:rsidRPr="003A245C" w:rsidRDefault="00ED78C3" w:rsidP="00ED78C3">
            <w:pPr>
              <w:spacing w:after="120"/>
              <w:jc w:val="center"/>
              <w:rPr>
                <w:b/>
                <w:sz w:val="21"/>
                <w:szCs w:val="21"/>
              </w:rPr>
            </w:pPr>
            <w:r w:rsidRPr="00ED78C3">
              <w:rPr>
                <w:b/>
                <w:sz w:val="21"/>
                <w:szCs w:val="21"/>
              </w:rPr>
              <w:t>Bc. Miroslav Novák, DiS</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B" w14:textId="4777AAF2" w:rsidR="00224502" w:rsidRPr="003A245C" w:rsidRDefault="00ED78C3" w:rsidP="00ED78C3">
            <w:pPr>
              <w:jc w:val="center"/>
              <w:rPr>
                <w:sz w:val="21"/>
                <w:szCs w:val="21"/>
              </w:rPr>
            </w:pPr>
            <w:r>
              <w:rPr>
                <w:sz w:val="21"/>
                <w:szCs w:val="21"/>
              </w:rPr>
              <w:t>starosta města</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1184784A"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00925E83">
        <w:rPr>
          <w:b/>
          <w:bCs/>
          <w:smallCaps/>
          <w:spacing w:val="20"/>
          <w:sz w:val="21"/>
          <w:szCs w:val="21"/>
        </w:rPr>
        <w:t xml:space="preserve">Harmonogram prací </w:t>
      </w:r>
      <w:r w:rsidRPr="003A245C">
        <w:rPr>
          <w:b/>
          <w:bCs/>
          <w:smallCaps/>
          <w:spacing w:val="20"/>
          <w:sz w:val="21"/>
          <w:szCs w:val="21"/>
        </w:rPr>
        <w:t xml:space="preserve">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438E6074" w:rsidR="002E6658" w:rsidRPr="009D2F41" w:rsidRDefault="00ED78C3" w:rsidP="002E6658">
      <w:pPr>
        <w:pStyle w:val="Zhlav"/>
        <w:spacing w:after="120"/>
        <w:jc w:val="both"/>
        <w:outlineLvl w:val="0"/>
        <w:rPr>
          <w:b/>
          <w:bCs/>
          <w:smallCaps/>
          <w:sz w:val="21"/>
          <w:szCs w:val="21"/>
        </w:rPr>
      </w:pPr>
      <w:r>
        <w:rPr>
          <w:b/>
          <w:bCs/>
          <w:smallCaps/>
          <w:sz w:val="21"/>
          <w:szCs w:val="21"/>
        </w:rPr>
        <w:t>Starosta</w:t>
      </w:r>
      <w:r w:rsidR="007C28D2">
        <w:rPr>
          <w:b/>
          <w:bCs/>
          <w:smallCaps/>
          <w:sz w:val="21"/>
          <w:szCs w:val="21"/>
        </w:rPr>
        <w:t xml:space="preserve"> nebo místostarosta</w:t>
      </w:r>
    </w:p>
    <w:p w14:paraId="1131F141" w14:textId="3932F0B2" w:rsidR="00ED78C3" w:rsidRPr="009A3549" w:rsidRDefault="00ED78C3" w:rsidP="00ED78C3">
      <w:pPr>
        <w:pStyle w:val="Zhlav"/>
        <w:spacing w:after="120"/>
        <w:jc w:val="both"/>
        <w:rPr>
          <w:bCs/>
          <w:sz w:val="21"/>
          <w:szCs w:val="21"/>
        </w:rPr>
      </w:pPr>
      <w:r w:rsidRPr="009A3549">
        <w:rPr>
          <w:bCs/>
          <w:sz w:val="21"/>
          <w:szCs w:val="21"/>
        </w:rPr>
        <w:t>Bc. Miroslav Novák, DiS</w:t>
      </w:r>
    </w:p>
    <w:p w14:paraId="575AB5C0" w14:textId="1AC8CE5A" w:rsidR="00ED78C3" w:rsidRPr="009D2F41" w:rsidRDefault="00ED78C3" w:rsidP="00ED78C3">
      <w:pPr>
        <w:pStyle w:val="Zhlav"/>
        <w:spacing w:after="120"/>
        <w:jc w:val="both"/>
        <w:rPr>
          <w:bCs/>
          <w:color w:val="000000" w:themeColor="text1"/>
          <w:sz w:val="21"/>
          <w:szCs w:val="21"/>
        </w:rPr>
      </w:pPr>
      <w:r w:rsidRPr="009A3549">
        <w:rPr>
          <w:bCs/>
          <w:color w:val="000000" w:themeColor="text1"/>
          <w:sz w:val="21"/>
          <w:szCs w:val="21"/>
        </w:rPr>
        <w:t>e</w:t>
      </w:r>
      <w:r w:rsidRPr="009A3549">
        <w:rPr>
          <w:bCs/>
          <w:color w:val="000000" w:themeColor="text1"/>
          <w:sz w:val="21"/>
          <w:szCs w:val="21"/>
        </w:rPr>
        <w:noBreakHyphen/>
      </w:r>
      <w:r w:rsidR="009A3549" w:rsidRPr="009A3549">
        <w:rPr>
          <w:bCs/>
          <w:color w:val="000000" w:themeColor="text1"/>
          <w:sz w:val="21"/>
          <w:szCs w:val="21"/>
        </w:rPr>
        <w:t xml:space="preserve">mail: </w:t>
      </w:r>
      <w:hyperlink r:id="rId11" w:history="1">
        <w:r w:rsidR="009A3549" w:rsidRPr="000350CA">
          <w:rPr>
            <w:rStyle w:val="Hypertextovodkaz"/>
            <w:bCs/>
            <w:sz w:val="21"/>
            <w:szCs w:val="21"/>
          </w:rPr>
          <w:t>miroslav.novak@pohorelice.cz</w:t>
        </w:r>
      </w:hyperlink>
      <w:r w:rsidR="009A3549">
        <w:rPr>
          <w:bCs/>
          <w:color w:val="000000" w:themeColor="text1"/>
          <w:sz w:val="21"/>
          <w:szCs w:val="21"/>
        </w:rPr>
        <w:t xml:space="preserve"> </w:t>
      </w:r>
      <w:r w:rsidRPr="009A3549">
        <w:rPr>
          <w:bCs/>
          <w:color w:val="000000" w:themeColor="text1"/>
          <w:sz w:val="21"/>
          <w:szCs w:val="21"/>
        </w:rPr>
        <w:t xml:space="preserve">, tel: </w:t>
      </w:r>
      <w:r w:rsidR="009A3549" w:rsidRPr="009A3549">
        <w:rPr>
          <w:bCs/>
          <w:color w:val="000000" w:themeColor="text1"/>
          <w:sz w:val="21"/>
          <w:szCs w:val="21"/>
        </w:rPr>
        <w:t>602 545 377</w:t>
      </w:r>
    </w:p>
    <w:p w14:paraId="73719BF5" w14:textId="3829749A" w:rsidR="004B36D5" w:rsidRPr="009A3549" w:rsidRDefault="009A3549" w:rsidP="0058633E">
      <w:pPr>
        <w:pStyle w:val="Zhlav"/>
        <w:spacing w:after="120"/>
        <w:jc w:val="both"/>
        <w:rPr>
          <w:bCs/>
          <w:sz w:val="21"/>
          <w:szCs w:val="21"/>
        </w:rPr>
      </w:pPr>
      <w:r w:rsidRPr="009A3549">
        <w:rPr>
          <w:bCs/>
          <w:sz w:val="21"/>
          <w:szCs w:val="21"/>
        </w:rPr>
        <w:t>Mgr. Patrik Pařil</w:t>
      </w:r>
    </w:p>
    <w:p w14:paraId="750ABE0A" w14:textId="06AAE98B" w:rsidR="009A3549" w:rsidRPr="009A3549" w:rsidRDefault="009A3549" w:rsidP="0058633E">
      <w:pPr>
        <w:pStyle w:val="Zhlav"/>
        <w:spacing w:after="120"/>
        <w:jc w:val="both"/>
        <w:rPr>
          <w:bCs/>
          <w:sz w:val="21"/>
          <w:szCs w:val="21"/>
        </w:rPr>
      </w:pPr>
      <w:r w:rsidRPr="009A3549">
        <w:rPr>
          <w:bCs/>
          <w:sz w:val="21"/>
          <w:szCs w:val="21"/>
        </w:rPr>
        <w:t xml:space="preserve">e-mail: </w:t>
      </w:r>
      <w:hyperlink r:id="rId12" w:history="1">
        <w:r w:rsidRPr="000350CA">
          <w:rPr>
            <w:rStyle w:val="Hypertextovodkaz"/>
            <w:bCs/>
            <w:sz w:val="21"/>
            <w:szCs w:val="21"/>
          </w:rPr>
          <w:t>patrik.paril@pohorelice.cz</w:t>
        </w:r>
      </w:hyperlink>
      <w:r>
        <w:rPr>
          <w:bCs/>
          <w:sz w:val="21"/>
          <w:szCs w:val="21"/>
        </w:rPr>
        <w:t xml:space="preserve"> , tel. 777 794 444</w:t>
      </w:r>
    </w:p>
    <w:p w14:paraId="73719BFC" w14:textId="317F4980" w:rsidR="001D716F" w:rsidRPr="003A245C" w:rsidRDefault="001D716F"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73719BFD" w14:textId="34A41DFC" w:rsidR="006638A1" w:rsidRPr="00A40D71" w:rsidRDefault="00ED78C3" w:rsidP="009112D2">
      <w:pPr>
        <w:pStyle w:val="Zhlav"/>
        <w:spacing w:after="120"/>
        <w:jc w:val="both"/>
        <w:rPr>
          <w:bCs/>
          <w:sz w:val="21"/>
          <w:szCs w:val="21"/>
        </w:rPr>
      </w:pPr>
      <w:r>
        <w:rPr>
          <w:bCs/>
          <w:sz w:val="21"/>
          <w:szCs w:val="21"/>
        </w:rPr>
        <w:t>Kontakt bude doplněn</w:t>
      </w: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085417C7" w:rsidR="00224502" w:rsidRPr="0084760C" w:rsidRDefault="00ED78C3" w:rsidP="00ED78C3">
            <w:pPr>
              <w:spacing w:after="120"/>
              <w:jc w:val="center"/>
              <w:rPr>
                <w:b/>
                <w:sz w:val="21"/>
                <w:szCs w:val="21"/>
              </w:rPr>
            </w:pPr>
            <w:r w:rsidRPr="00ED78C3">
              <w:rPr>
                <w:b/>
                <w:sz w:val="21"/>
                <w:szCs w:val="21"/>
              </w:rPr>
              <w:t>Bc. Miroslav Novák, DiS</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33F9549E" w:rsidR="00224502" w:rsidRPr="0084760C" w:rsidRDefault="00ED78C3" w:rsidP="00F52065">
            <w:pPr>
              <w:spacing w:after="120"/>
              <w:jc w:val="center"/>
              <w:rPr>
                <w:sz w:val="21"/>
                <w:szCs w:val="21"/>
              </w:rPr>
            </w:pPr>
            <w:r>
              <w:rPr>
                <w:sz w:val="21"/>
                <w:szCs w:val="21"/>
              </w:rPr>
              <w:t>starosta města</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A" w14:textId="630DF64C" w:rsidR="00224502" w:rsidRPr="0084760C" w:rsidRDefault="00224502" w:rsidP="00F52065">
            <w:pPr>
              <w:jc w:val="center"/>
              <w:rPr>
                <w:sz w:val="21"/>
                <w:szCs w:val="21"/>
              </w:rPr>
            </w:pP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6" w14:textId="07F7BCAA"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35CF9610" w:rsidR="00347933" w:rsidRDefault="00347933" w:rsidP="007F6932">
      <w:pPr>
        <w:spacing w:after="120"/>
        <w:jc w:val="both"/>
        <w:rPr>
          <w:sz w:val="21"/>
          <w:szCs w:val="21"/>
        </w:rPr>
      </w:pPr>
    </w:p>
    <w:p w14:paraId="77BCB3C2" w14:textId="164F1590" w:rsidR="00E050F5" w:rsidRDefault="00E050F5" w:rsidP="007F6932">
      <w:pPr>
        <w:spacing w:after="120"/>
        <w:jc w:val="both"/>
        <w:rPr>
          <w:sz w:val="21"/>
          <w:szCs w:val="21"/>
        </w:rPr>
      </w:pPr>
    </w:p>
    <w:p w14:paraId="72FAE8C9" w14:textId="0B333E46" w:rsidR="00E050F5" w:rsidRDefault="00E050F5" w:rsidP="007F6932">
      <w:pPr>
        <w:spacing w:after="120"/>
        <w:jc w:val="both"/>
        <w:rPr>
          <w:sz w:val="21"/>
          <w:szCs w:val="21"/>
        </w:rPr>
      </w:pPr>
    </w:p>
    <w:p w14:paraId="47E8BF72" w14:textId="2CDB714C" w:rsidR="00E050F5" w:rsidRDefault="00E050F5" w:rsidP="007F6932">
      <w:pPr>
        <w:spacing w:after="120"/>
        <w:jc w:val="both"/>
        <w:rPr>
          <w:sz w:val="21"/>
          <w:szCs w:val="21"/>
        </w:rPr>
      </w:pPr>
    </w:p>
    <w:p w14:paraId="79962C40" w14:textId="77777777" w:rsidR="00E050F5" w:rsidRPr="003A245C" w:rsidRDefault="00E050F5"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9F5482">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9F5482">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9F5482">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9F5482">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9F5482">
              <w:rPr>
                <w:sz w:val="20"/>
              </w:rPr>
            </w:r>
            <w:r w:rsidR="009F5482">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46A9ABDB" w:rsidR="00347933" w:rsidRPr="003A245C" w:rsidRDefault="00347933" w:rsidP="007F6932">
      <w:pPr>
        <w:spacing w:after="120"/>
        <w:jc w:val="both"/>
        <w:rPr>
          <w:sz w:val="21"/>
          <w:szCs w:val="21"/>
        </w:rPr>
      </w:pPr>
    </w:p>
    <w:sectPr w:rsidR="00347933" w:rsidRPr="003A245C" w:rsidSect="00635AF4">
      <w:headerReference w:type="default" r:id="rId13"/>
      <w:footerReference w:type="default" r:id="rId14"/>
      <w:headerReference w:type="first" r:id="rId15"/>
      <w:footerReference w:type="first" r:id="rId16"/>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FEDFA" w14:textId="77777777" w:rsidR="00664241" w:rsidRDefault="00664241">
      <w:r>
        <w:separator/>
      </w:r>
    </w:p>
  </w:endnote>
  <w:endnote w:type="continuationSeparator" w:id="0">
    <w:p w14:paraId="7A461B65" w14:textId="77777777" w:rsidR="00664241" w:rsidRDefault="00664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10817509" w:rsidR="00664241" w:rsidRPr="000A7553" w:rsidRDefault="00664241"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F5482">
      <w:rPr>
        <w:noProof/>
        <w:sz w:val="21"/>
        <w:szCs w:val="21"/>
      </w:rPr>
      <w:t>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F5482">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06E6FAD3" w:rsidR="00664241" w:rsidRPr="006D1D93" w:rsidRDefault="00664241"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F5482">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F5482">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6AD41" w14:textId="77777777" w:rsidR="00664241" w:rsidRDefault="00664241">
      <w:r>
        <w:separator/>
      </w:r>
    </w:p>
  </w:footnote>
  <w:footnote w:type="continuationSeparator" w:id="0">
    <w:p w14:paraId="4C6377FD" w14:textId="77777777" w:rsidR="00664241" w:rsidRDefault="00664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0" w14:textId="3EF4E3D5" w:rsidR="00664241" w:rsidRPr="000A7553" w:rsidRDefault="00664241" w:rsidP="00D943A3">
    <w:pPr>
      <w:pStyle w:val="Zhlav"/>
      <w:rPr>
        <w:b/>
        <w:bCs/>
        <w:color w:val="FF0000"/>
        <w:sz w:val="21"/>
        <w:szCs w:val="21"/>
      </w:rPr>
    </w:pPr>
    <w:r w:rsidRPr="003C7273">
      <w:rPr>
        <w:bCs/>
        <w:i/>
        <w:smallCaps/>
        <w:spacing w:val="20"/>
        <w:sz w:val="20"/>
        <w:szCs w:val="20"/>
        <w:lang w:val="en-US"/>
      </w:rPr>
      <w:t>II/416 POHOŘELICE – OKRUŽNÍ KŘIŽOVATKA</w:t>
    </w:r>
    <w:r>
      <w:rPr>
        <w:b/>
        <w:bCs/>
        <w:color w:val="FF0000"/>
        <w:sz w:val="21"/>
        <w:szCs w:val="21"/>
      </w:rPr>
      <w:t xml:space="preserve"> 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664241" w:rsidRPr="000A7553" w:rsidRDefault="00664241"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6ABAF670" w:rsidR="00664241" w:rsidRPr="003C7273" w:rsidRDefault="00664241">
    <w:pPr>
      <w:rPr>
        <w:sz w:val="20"/>
        <w:szCs w:val="20"/>
      </w:rPr>
    </w:pPr>
  </w:p>
  <w:tbl>
    <w:tblPr>
      <w:tblW w:w="10456" w:type="dxa"/>
      <w:tblLook w:val="01E0" w:firstRow="1" w:lastRow="1" w:firstColumn="1" w:lastColumn="1" w:noHBand="0" w:noVBand="0"/>
    </w:tblPr>
    <w:tblGrid>
      <w:gridCol w:w="4788"/>
      <w:gridCol w:w="5668"/>
    </w:tblGrid>
    <w:tr w:rsidR="00664241" w:rsidRPr="003C7273" w14:paraId="73719C95" w14:textId="77777777" w:rsidTr="00534691">
      <w:tc>
        <w:tcPr>
          <w:tcW w:w="10456" w:type="dxa"/>
          <w:gridSpan w:val="2"/>
        </w:tcPr>
        <w:p w14:paraId="73719C94" w14:textId="5AB291FE" w:rsidR="00664241" w:rsidRPr="003C7273" w:rsidRDefault="00664241" w:rsidP="00700CD6">
          <w:pPr>
            <w:tabs>
              <w:tab w:val="left" w:pos="810"/>
            </w:tabs>
            <w:spacing w:after="240"/>
            <w:rPr>
              <w:bCs/>
              <w:smallCaps/>
              <w:spacing w:val="20"/>
              <w:sz w:val="20"/>
              <w:szCs w:val="20"/>
            </w:rPr>
          </w:pPr>
          <w:r w:rsidRPr="003C7273">
            <w:rPr>
              <w:bCs/>
              <w:i/>
              <w:smallCaps/>
              <w:spacing w:val="20"/>
              <w:sz w:val="20"/>
              <w:szCs w:val="20"/>
              <w:lang w:val="en-US"/>
            </w:rPr>
            <w:t>II/416 POHOŘELICE – OKRUŽNÍ KŘIŽOVATKA</w:t>
          </w:r>
        </w:p>
      </w:tc>
    </w:tr>
    <w:tr w:rsidR="00664241" w:rsidRPr="00102C96" w14:paraId="73719C98" w14:textId="77777777" w:rsidTr="00534691">
      <w:tc>
        <w:tcPr>
          <w:tcW w:w="4788" w:type="dxa"/>
        </w:tcPr>
        <w:p w14:paraId="73719C96" w14:textId="77777777" w:rsidR="00664241" w:rsidRPr="00102C96" w:rsidRDefault="00664241" w:rsidP="00102C96">
          <w:pPr>
            <w:jc w:val="both"/>
            <w:rPr>
              <w:sz w:val="21"/>
              <w:szCs w:val="21"/>
            </w:rPr>
          </w:pPr>
          <w:r w:rsidRPr="00102C96">
            <w:rPr>
              <w:sz w:val="21"/>
              <w:szCs w:val="21"/>
            </w:rPr>
            <w:t>Číslo smlouvy objednatele</w:t>
          </w:r>
        </w:p>
      </w:tc>
      <w:tc>
        <w:tcPr>
          <w:tcW w:w="5668" w:type="dxa"/>
        </w:tcPr>
        <w:p w14:paraId="73719C97" w14:textId="77777777" w:rsidR="00664241" w:rsidRPr="00102C96" w:rsidRDefault="00664241" w:rsidP="00102C96">
          <w:pPr>
            <w:ind w:left="34"/>
            <w:jc w:val="right"/>
            <w:rPr>
              <w:sz w:val="21"/>
              <w:szCs w:val="21"/>
            </w:rPr>
          </w:pPr>
          <w:r w:rsidRPr="00102C96">
            <w:rPr>
              <w:sz w:val="21"/>
              <w:szCs w:val="21"/>
            </w:rPr>
            <w:t xml:space="preserve">Číslo smlouvy zhotovitele    </w:t>
          </w:r>
        </w:p>
      </w:tc>
    </w:tr>
  </w:tbl>
  <w:p w14:paraId="73719C99" w14:textId="1D114F55" w:rsidR="00664241" w:rsidRPr="008B636E" w:rsidRDefault="00664241">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8"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1"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7"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6"/>
  </w:num>
  <w:num w:numId="4">
    <w:abstractNumId w:val="26"/>
  </w:num>
  <w:num w:numId="5">
    <w:abstractNumId w:val="3"/>
  </w:num>
  <w:num w:numId="6">
    <w:abstractNumId w:val="29"/>
  </w:num>
  <w:num w:numId="7">
    <w:abstractNumId w:val="33"/>
  </w:num>
  <w:num w:numId="8">
    <w:abstractNumId w:val="17"/>
  </w:num>
  <w:num w:numId="9">
    <w:abstractNumId w:val="32"/>
  </w:num>
  <w:num w:numId="10">
    <w:abstractNumId w:val="2"/>
  </w:num>
  <w:num w:numId="11">
    <w:abstractNumId w:val="19"/>
  </w:num>
  <w:num w:numId="12">
    <w:abstractNumId w:val="11"/>
  </w:num>
  <w:num w:numId="13">
    <w:abstractNumId w:val="8"/>
  </w:num>
  <w:num w:numId="14">
    <w:abstractNumId w:val="6"/>
  </w:num>
  <w:num w:numId="15">
    <w:abstractNumId w:val="23"/>
  </w:num>
  <w:num w:numId="16">
    <w:abstractNumId w:val="30"/>
  </w:num>
  <w:num w:numId="17">
    <w:abstractNumId w:val="34"/>
  </w:num>
  <w:num w:numId="18">
    <w:abstractNumId w:val="3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7"/>
  </w:num>
  <w:num w:numId="23">
    <w:abstractNumId w:val="27"/>
  </w:num>
  <w:num w:numId="24">
    <w:abstractNumId w:val="1"/>
  </w:num>
  <w:num w:numId="25">
    <w:abstractNumId w:val="24"/>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8"/>
  </w:num>
  <w:num w:numId="29">
    <w:abstractNumId w:val="13"/>
  </w:num>
  <w:num w:numId="30">
    <w:abstractNumId w:val="0"/>
  </w:num>
  <w:num w:numId="31">
    <w:abstractNumId w:val="25"/>
  </w:num>
  <w:num w:numId="32">
    <w:abstractNumId w:val="21"/>
  </w:num>
  <w:num w:numId="33">
    <w:abstractNumId w:val="36"/>
  </w:num>
  <w:num w:numId="34">
    <w:abstractNumId w:val="18"/>
  </w:num>
  <w:num w:numId="35">
    <w:abstractNumId w:val="28"/>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2"/>
  </w:num>
  <w:num w:numId="40">
    <w:abstractNumId w:val="9"/>
  </w:num>
  <w:num w:numId="41">
    <w:abstractNumId w:val="31"/>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E7CD9"/>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3A3"/>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20EC8"/>
    <w:rsid w:val="00D21492"/>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445E"/>
    <w:rsid w:val="00D75583"/>
    <w:rsid w:val="00D763B3"/>
    <w:rsid w:val="00D76DC5"/>
    <w:rsid w:val="00D77202"/>
    <w:rsid w:val="00D7742F"/>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0F5"/>
    <w:rsid w:val="00E056BC"/>
    <w:rsid w:val="00E102D8"/>
    <w:rsid w:val="00E12CE1"/>
    <w:rsid w:val="00E1337B"/>
    <w:rsid w:val="00E13AEB"/>
    <w:rsid w:val="00E148DC"/>
    <w:rsid w:val="00E149D0"/>
    <w:rsid w:val="00E151AC"/>
    <w:rsid w:val="00E15583"/>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trik.paril@pohorelic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ovak@pohorelice.cz"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30D001-93F5-47C4-9147-306709214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18</Pages>
  <Words>6028</Words>
  <Characters>35569</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82</cp:revision>
  <cp:lastPrinted>2019-05-24T10:46:00Z</cp:lastPrinted>
  <dcterms:created xsi:type="dcterms:W3CDTF">2018-03-15T15:44:00Z</dcterms:created>
  <dcterms:modified xsi:type="dcterms:W3CDTF">2020-04-24T06:18:00Z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